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89R1049 JDK-F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certain complaints against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COMPLAINT REFERRALS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COMPLAINTS AGAINST HEALTH CARE PRACTITIONER LICENSED BY DIFFERENT LICENSING ENTITY.  (a)  Notwithstanding any other law, a licensing entity that receives a complaint concerning a health care practitioner who holds a license issued by a different licensing entity shall promptly forward a copy of the complaint to that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may not take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complaint filed against a health care practitioner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