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Transportation; March</w:t>
      </w:r>
      <w:r xml:space="preserve">
        <w:t> </w:t>
      </w:r>
      <w:r>
        <w:t xml:space="preserve">13,</w:t>
      </w:r>
      <w:r xml:space="preserve">
        <w:t> </w:t>
      </w:r>
      <w:r>
        <w:t xml:space="preserve">2025, reported adversely, with favorable Committee Substitute by the following vote:</w:t>
      </w:r>
      <w:r>
        <w:t xml:space="preserve"> </w:t>
      </w:r>
      <w:r>
        <w:t xml:space="preserve"> </w:t>
      </w:r>
      <w:r>
        <w:t xml:space="preserve">Yeas 5, Nays 4; March</w:t>
      </w:r>
      <w:r xml:space="preserve">
        <w:t> </w:t>
      </w:r>
      <w:r>
        <w:t xml:space="preserve">13,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284</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393.001, Transportation Code, is amended to read as follows:</w:t>
      </w:r>
    </w:p>
    <w:p w:rsidR="003F3435" w:rsidRDefault="0032493E">
      <w:pPr>
        <w:spacing w:line="480" w:lineRule="auto"/>
        <w:ind w:firstLine="720"/>
        <w:jc w:val="both"/>
      </w:pPr>
      <w:r>
        <w:t xml:space="preserve">Sec.</w:t>
      </w:r>
      <w:r xml:space="preserve">
        <w:t> </w:t>
      </w:r>
      <w:r>
        <w:t xml:space="preserve">393.001.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includes a person's employee, agent, independent contractor, assignee, business alter ego, and successor in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w:t>
      </w:r>
      <w:r>
        <w:t xml:space="preserve"> [</w:t>
      </w:r>
      <w:r>
        <w:rPr>
          <w:strike/>
        </w:rPr>
        <w:t xml:space="preserve">, "sign"</w:t>
      </w:r>
      <w:r>
        <w:t xml:space="preserve">] means an outdoor sign, display, light, device, figure, painting, drawing, message, plaque, poster, or other thing designed, intended, or used to advertise or inform.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