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314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certain food additives from being included in free or reduced-price meals provided by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33, Education Code, is amended by adding Section 33.9011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33.9011.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ADDITIVES IN FREE OR REDUCED-PRICE MEALS.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"National school breakfast program" means the national school breakfast program under the Child Nutrition Act of 1966 (42 U.S.C. Section 1773).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"National school lunch program" means the national school lunch program of free or reduced-price lunches under 42 U.S.C. Section 1751 et seq.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that provides free or reduced-price meals to eligible students under Section 33.901, the national school breakfast program, or the national school lunch program may not provide as part of a free or reduced-price meal any food that contains the following substances: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brominated vegetable oil (BVO);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potassium bromate;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propylparaben;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azodicarbonamide;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butylated hydroxyanisole (BHA);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 3 (CAS 16423-68-0);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 40 (CAS 25956-17-6);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yellow 5 (CAS 1934-21-0);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yellow 6 (CAS 2783-94-0);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blue 1 (CAS 3844-45-9);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blue 2 (CAS 860-22-0);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green 3 (CAS 2353-45-9);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caramel (CAS 8028-89-5);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titanium dioxide;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additive that is substantially similar to an additive specified in Subdivisions (1) through (14).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that receives a waiver under Section 7.056 is not in violation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Except as provided by Subsection (b) of this section, this Act applies beginning with the 2026-2027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Act applies only to a contract to provide food for free or reduced-price meals, as described by Section 33.9011, Education Code, as added by this Act, entered into or renewed on or after September 1, 2026.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