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3 (CAS 16423-68-0);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40 (CAS 25956-17-6);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5 (CAS 1934-21-0);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6 (CAS 2783-94-0);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1 (CAS 3844-45-9);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2 (CAS 860-22-0);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 3 (CAS 2353-45-9);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citrus red 3 (CAS 6358-53-8);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orange B (CAS 15139-76-1);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 No.</w:t>
      </w:r>
      <w:r>
        <w:rPr>
          <w:u w:val="single"/>
        </w:rPr>
        <w:t xml:space="preserve"> </w:t>
      </w:r>
      <w:r>
        <w:rPr>
          <w:u w:val="single"/>
        </w:rPr>
        <w:t xml:space="preserve">150c/ammonia caramel (Class III);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 No.</w:t>
      </w:r>
      <w:r>
        <w:rPr>
          <w:u w:val="single"/>
        </w:rPr>
        <w:t xml:space="preserve"> </w:t>
      </w:r>
      <w:r>
        <w:rPr>
          <w:u w:val="single"/>
        </w:rPr>
        <w:t xml:space="preserve">150d/sulfite ammonia caramel (Class IV);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additive that is substantially similar to an additive specified in Subdivisions (1) through (17).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receives a waiver under Section 7.056 is not in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314 passed the Senate on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1; and that the Senate concurred in House amendment on May</w:t>
      </w:r>
      <w:r xml:space="preserve">
        <w:t> </w:t>
      </w:r>
      <w:r>
        <w:t xml:space="preserve">14,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314 passed the House, with amendment, on May 10, 2025, by the following vote:  Yeas</w:t>
      </w:r>
      <w:r xml:space="preserve">
        <w:t> </w:t>
      </w:r>
      <w:r>
        <w:t xml:space="preserve">123,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