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89R1661 MM-D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Hughes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314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prohibiting certain food additives from being included in free or reduced-price meals provided by school districts.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Z, Chapter 33, Education Code, is amended by adding Section 33.9011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33.9011.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PROHIBITION ON CERTAIN ADDITIVES IN FREE OR REDUCED-PRICE MEALS. (a)  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"National school breakfast program" means the national school breakfast program under the Child Nutrition Act of 1966 (42 U.S.C. Section 1773).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"National school lunch program" means the national school lunch program of free or reduced-price lunches under 42 U.S.C. Section 1751 et seq.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school district or open-enrollment charter school that provides free or reduced-price meals to eligible students under Section 33.901, the national school breakfast program, or the national school lunch program may not provide as part of a free or reduced-price meal any food that contains the following substances: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brominated vegetable oil (BVO);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potassium bromate;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propylparaben;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azodicarbonamide;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butylated hydroxyanisole (BHA);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red dye 3;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(7)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titanium dioxide.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(a) Except as provided by Subsection (b) of this section, this Act applies beginning with the 2025-2026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Act applies only to a contract to provide food for free or reduced-price meals, as described by Section 33.9011, Education Code, as added by this Act, entered into or renewed on or after September 1, 2025.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314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