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Cook, 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12,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Education K-16; February 19, 2025 rereferred to Committee on Health &amp; Human Services;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1;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3 (CAS 16423-68-0);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40 (CAS 25956-17-6);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5 (CAS 1934-21-0);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6 (CAS 2783-94-0);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1 (CAS 3844-45-9);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2 (CAS 860-22-0);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 3 (CAS 2353-45-9);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caramel (CAS 8028-89-5);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additive that is substantially similar to an additive specified in Subdivisions (1) through (14).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