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89R3455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exercise of eminent domain authority by the Texas Facilities Commission to build a wall along this state's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L, Chapter 2166, Government Code, is amended by adding Section 2166.555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2166.555.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BORDER WALL.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exercise the power of eminent domain under Section 2166.055 to acquire an interest in real property for the construction, extension, improvement, or development of a wall along this state's international border for the purposes of preventing: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illegal entry into the United States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aliens without official approval of an appropriate federal governmental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terrorists and instruments of terrorism;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contraband, including narcotics and other controlled substances.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exercise the power of eminent domain under Subsection (a) to acquire: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in fee simple;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interest less than fee simple in, on, under, or above land, including an easement, right-of-way, or right of use of airspace or subsurface space.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must adopt a resolution in accordance with Section 2206.053 before filing a condemnation petition under Chapter 21, Property Code, to exercise the power of eminent domain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resolution required by Subsection (c):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statement that the commission's acquisition of the property interest described in the resolution: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public necessity;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necessary and proper for the construction, extension, improvement, or development of a wall along this state's international border and is in the public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conclusive evidence of the public necessity of the proposed acquisition and that the property interest is necessary for public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