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S.B.</w:t>
      </w:r>
      <w:r xml:space="preserve">
        <w:t> </w:t>
      </w:r>
      <w:r>
        <w:t xml:space="preserve">No.</w:t>
      </w:r>
      <w:r xml:space="preserve">
        <w:t> </w:t>
      </w:r>
      <w:r>
        <w:t xml:space="preserve">318</w:t>
      </w:r>
    </w:p>
    <w:p w:rsidR="003F3435" w:rsidRDefault="0032493E">
      <w:pPr>
        <w:spacing w:line="480" w:lineRule="auto"/>
        <w:ind w:firstLine="720"/>
        <w:jc w:val="both"/>
      </w:pPr>
      <w:r>
        <w:t xml:space="preserve">(In the Senate</w:t>
      </w:r>
      <w:r xml:space="preserve">
        <w:t> </w:t>
      </w:r>
      <w:r>
        <w:t xml:space="preserve">-</w:t>
      </w:r>
      <w:r xml:space="preserve">
        <w:t> </w:t>
      </w:r>
      <w:r>
        <w:t xml:space="preserve">Filed November</w:t>
      </w:r>
      <w:r xml:space="preserve">
        <w:t> </w:t>
      </w:r>
      <w:r>
        <w:t xml:space="preserve">12,</w:t>
      </w:r>
      <w:r xml:space="preserve">
        <w:t> </w:t>
      </w:r>
      <w:r>
        <w:t xml:space="preserve">2024; February</w:t>
      </w:r>
      <w:r xml:space="preserve">
        <w:t> </w:t>
      </w:r>
      <w:r>
        <w:t xml:space="preserve">3,</w:t>
      </w:r>
      <w:r xml:space="preserve">
        <w:t> </w:t>
      </w:r>
      <w:r>
        <w:t xml:space="preserve">2025, read first time and referred to Committee on State Affairs; March</w:t>
      </w:r>
      <w:r xml:space="preserve">
        <w:t> </w:t>
      </w:r>
      <w:r>
        <w:t xml:space="preserve">24,</w:t>
      </w:r>
      <w:r xml:space="preserve">
        <w:t> </w:t>
      </w:r>
      <w:r>
        <w:t xml:space="preserve">2025, reported favorably by the following vote:</w:t>
      </w:r>
      <w:r>
        <w:t xml:space="preserve"> </w:t>
      </w:r>
      <w:r>
        <w:t xml:space="preserve"> </w:t>
      </w:r>
      <w:r>
        <w:t xml:space="preserve">Yeas 9, Nays 0; March</w:t>
      </w:r>
      <w:r xml:space="preserve">
        <w:t> </w:t>
      </w:r>
      <w:r>
        <w:t xml:space="preserve">24,</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establishment of the election integrity division in the office of the attorney general.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402, Government Code, is amended by adding Section 402.0385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402.0385.</w:t>
      </w:r>
      <w:r>
        <w:rPr>
          <w:u w:val="single"/>
        </w:rPr>
        <w:t xml:space="preserve"> </w:t>
      </w:r>
      <w:r>
        <w:rPr>
          <w:u w:val="single"/>
        </w:rPr>
        <w:t xml:space="preserve"> </w:t>
      </w:r>
      <w:r>
        <w:rPr>
          <w:u w:val="single"/>
        </w:rPr>
        <w:t xml:space="preserve">ELECTION INTEGRITY DIVISION.  (a) </w:t>
      </w:r>
      <w:r>
        <w:rPr>
          <w:u w:val="single"/>
        </w:rPr>
        <w:t xml:space="preserve"> </w:t>
      </w:r>
      <w:r>
        <w:rPr>
          <w:u w:val="single"/>
        </w:rPr>
        <w:t xml:space="preserve">The office of the attorney general shall establish an election integrity division.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election integrity division shall, using available funds or any funds appropriated to the division and in support of the appropriate county or district attorney, investigate reports of election fraud or that a person has committed an offense under the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As requested by the division, a state law enforcement agency shall assist the election integrity division in an investigation conducted under this section.</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investigation conducted by the division, the division may issue an administrative subpoena to a political subdivision of this state compelling: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production of information or documents;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attendance and testimony of a witness.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318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