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89R4441 CS-D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Creighton</w:t>
      </w:r>
      <w:r xml:space="preserve">
        <w:tab wTab="150" tlc="none" cTlc="0"/>
      </w:r>
      <w:r>
        <w:t xml:space="preserve">S.B.</w:t>
      </w:r>
      <w:r xml:space="preserve">
        <w:t> </w:t>
      </w:r>
      <w:r>
        <w:t xml:space="preserve">No.</w:t>
      </w:r>
      <w:r xml:space="preserve">
        <w:t> </w:t>
      </w:r>
      <w:r>
        <w:t xml:space="preserve">319</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dedicating certain state revenue to the purpose of retiring state debt.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F, Chapter 403, Government Code, is amended by adding Section 403.098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403.098.</w:t>
      </w:r>
      <w:r>
        <w:rPr>
          <w:u w:val="single"/>
        </w:rPr>
        <w:t xml:space="preserve"> </w:t>
      </w:r>
      <w:r>
        <w:rPr>
          <w:u w:val="single"/>
        </w:rPr>
        <w:t xml:space="preserve"> </w:t>
      </w:r>
      <w:r>
        <w:rPr>
          <w:u w:val="single"/>
        </w:rPr>
        <w:t xml:space="preserve">ALLOCATIONS FOR STATE DEBT RETIREMENT.  (a)  The state debt retirement account is an account in the general revenue fund administered by the comptroller.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Each time the comptroller, as provided by Section 49-g(b) or (c), Article III, Texas Constitution, reduces an amount of general revenue that otherwise is to be transferred to the economic stabilization fund, the comptroller shall allocate to the credit of the state debt retirement account an amount of general revenue equal to the amount by which the comptroller reduced the amount of the transfer to the economic stabilization fund.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Each time the comptroller, as provided by Section 49-g(i), Article III, Texas Constitution, credits to general revenue an amount of interest otherwise due to the economic stabilization fund, the comptroller shall credit that amount to the state debt retirement account.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Except as provided by Subsection (f), money allocated or credited to the state debt retirement account under this section may be appropriated only to pay the principal of or interest on state bonds, notes, or other obligations.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At any time there is no outstanding amount of principal or interest owed on a state bond, note, or other obligation, the comptroller: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shall allocate to the nondedicated portion of the general revenue fund any remaining balance of money allocated or credited to the state debt retirement account under this section;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not make an allocation or credit money as otherwise required by Subsection (b) or (c).</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Money allocated as provided by Subsection (e)(1) may be appropriated for any general governmental purpose.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319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