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324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state contractors, political subdivisions of this state, and private employers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t xml:space="preserve">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2264, Government Code, is amended by adding Sections 2264.1011, 2264.102, 2264.103, and 2264.104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INAPPLICABILITY OF SUBCHAPTER.  This subchapter does not apply to a purchase of goods or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notice is not required to be posted in the electronic state business daily under Section 2155.083;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state agency under purchasing authority delegated to the agency under Section 2155.132 if competitive bidding is not required for the purchase under Subsection (e) of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2264.104.</w:t>
      </w:r>
      <w:r>
        <w:rPr>
          <w:u w:val="single"/>
        </w:rPr>
        <w:t xml:space="preserve"> </w:t>
      </w:r>
      <w:r>
        <w:rPr>
          <w:u w:val="single"/>
        </w:rPr>
        <w:t xml:space="preserve"> </w:t>
      </w:r>
      <w:r>
        <w:rPr>
          <w:u w:val="single"/>
        </w:rPr>
        <w:t xml:space="preserve">BARRING FROM STATE CONTRACTS.  (a) Using procedures prescribed under Section 2155.077, the comptroller may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hired a subcontractor, other than a subcontractor who acts exclusively as a supplier for the contract,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a debarment proceeding under this section that the contractor did not know that a subcontractor hired to perform work under the contract is not registered with or is not participating in the E-verify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other than a governmental entity or a sole proprietorship,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w:t>
      </w:r>
      <w:r>
        <w:rPr>
          <w:u w:val="single"/>
        </w:rPr>
        <w:t xml:space="preserve"> </w:t>
      </w:r>
      <w:r>
        <w:rPr>
          <w:u w:val="single"/>
        </w:rPr>
        <w:t xml:space="preserve">An employer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ENFORCEMENT BY STATE AGENCIES; RULES. </w:t>
      </w:r>
      <w:r>
        <w:rPr>
          <w:u w:val="single"/>
        </w:rPr>
        <w:t xml:space="preserve"> </w:t>
      </w:r>
      <w:r>
        <w:rPr>
          <w:u w:val="single"/>
        </w:rPr>
        <w:t xml:space="preserve">(a)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appropriate state agency shall adopt rules and prescribe forms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Each state agency subject to Subchapter C, Chapter 2264, Government Code, as amended by this Act, shall develop the procedures required under Section 2264.103(d), Government Code, as added by this Act, not later than December 31,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2264.1011, 2264.102, 2264.103, and 2264.104, Government Code, as added by this Act, apply only in relation to a contract for which the request for bids or proposals or other applicable expression of interest is made public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each appropriate state agency subject to Section 53.004, Labor Code, as added by this Act, shall adopt rules and prescribe forms as required by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53.003, Labor Code, and 181.002, Local Government Code, as added by this Act, apply beginning January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