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89R1592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326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determining whether a student's violation of a public school's or public institution of higher education's student code of conduct was motivated by antisemitism.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37, Education Code, is amended by adding Section 37.0095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37.0095.</w:t>
      </w:r>
      <w:r>
        <w:rPr>
          <w:u w:val="single"/>
        </w:rPr>
        <w:t xml:space="preserve"> </w:t>
      </w:r>
      <w:r>
        <w:rPr>
          <w:u w:val="single"/>
        </w:rPr>
        <w:t xml:space="preserve"> </w:t>
      </w:r>
      <w:r>
        <w:rPr>
          <w:u w:val="single"/>
        </w:rPr>
        <w:t xml:space="preserve">ANTISEMITISM: DISCIPLINARY ACTION.  In taking disciplinary action against a student for behavior that violates the student code of conduct adopted under Section 37.001 and that may reasonably be determined to have been motivated by antisemitism, a school district or open-enrollment charter school shall consider the definition of antisemitism provided by Section 448.001, Government Code, including the examples referenced in that term, as instructive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51.9791.</w:t>
      </w:r>
      <w:r>
        <w:rPr>
          <w:u w:val="single"/>
        </w:rPr>
        <w:t xml:space="preserve"> </w:t>
      </w:r>
      <w:r>
        <w:rPr>
          <w:u w:val="single"/>
        </w:rPr>
        <w:t xml:space="preserve"> </w:t>
      </w:r>
      <w:r>
        <w:rPr>
          <w:u w:val="single"/>
        </w:rPr>
        <w:t xml:space="preserve">ANTISEMITISM: DISCIPLINARY ACTION.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taking disciplinary action against a student for behavior that violates the institution's student code of conduct and that may reasonably be determined to have been motivated by antisemitism, an institution of higher education shall consider the definition of antisemitism provided by Section 448.001, Government Code, including the examples referenced in that term, as instructive in determining whether the student's behavior was motivated by antisemitism.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Section 37.0095, Education Code, as added by this Act, applies beginning with the 2025-2026 school year.</w:t>
      </w:r>
    </w:p>
    <w:p w:rsidR="003F3435" w:rsidRDefault="0032493E">
      <w:pPr>
        <w:spacing w:line="480" w:lineRule="auto"/>
        <w:ind w:firstLine="720"/>
        <w:jc w:val="both"/>
      </w:pPr>
      <w:r>
        <w:t xml:space="preserve">(b)</w:t>
      </w:r>
      <w:r xml:space="preserve">
        <w:t> </w:t>
      </w:r>
      <w:r xml:space="preserve">
        <w:t> </w:t>
      </w:r>
      <w:r>
        <w:t xml:space="preserve">Section 51.9791,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