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89R3696 JDK-D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health care cost information by certain health care facilities; imposing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327.001(7), Health and Safety Code, is amended to read as follows:</w:t>
      </w:r>
    </w:p>
    <w:p w:rsidR="003F3435" w:rsidRDefault="0032493E">
      <w:pPr>
        <w:spacing w:line="480" w:lineRule="auto"/>
        <w:ind w:firstLine="1440"/>
        <w:jc w:val="both"/>
      </w:pPr>
      <w:r>
        <w:t xml:space="preserve">(7)</w:t>
      </w:r>
      <w:r xml:space="preserve">
        <w:t> </w:t>
      </w:r>
      <w:r xml:space="preserve">
        <w:t> </w:t>
      </w:r>
      <w:r>
        <w:t xml:space="preserve">"Facility" means a hospital</w:t>
      </w:r>
      <w:r>
        <w:rPr>
          <w:u w:val="single"/>
        </w:rPr>
        <w:t xml:space="preserve">, freestanding emergency medical care facility, urgent care or retail clinic, outpatient clinic, birthing center, ambulatory surgical center, or other facility that is licensed to provide health care services in this state</w:t>
      </w:r>
      <w:r>
        <w:t xml:space="preserve"> [</w:t>
      </w:r>
      <w:r>
        <w:rPr>
          <w:strike/>
        </w:rPr>
        <w:t xml:space="preserve">licensed under Chapter 241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327.008(a),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facility [</w:t>
      </w:r>
      <w:r>
        <w:rPr>
          <w:strike/>
        </w:rPr>
        <w:t xml:space="preserve">in accordance with Chapter 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care facility required to disclose billing information under Chapter 327, Health and Safety Code, as amended by this Act, shall disclose the information in accordance with that chapter not later than August 31, 2029.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