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89R2907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378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practices by a barber or cosmetologist.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E-1, Chapter 1603, Occupations Code, is amended by adding Section 1603.2110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1603.2110.</w:t>
      </w:r>
      <w:r>
        <w:rPr>
          <w:u w:val="single"/>
        </w:rPr>
        <w:t xml:space="preserve"> </w:t>
      </w:r>
      <w:r>
        <w:rPr>
          <w:u w:val="single"/>
        </w:rPr>
        <w:t xml:space="preserve"> </w:t>
      </w:r>
      <w:r>
        <w:rPr>
          <w:u w:val="single"/>
        </w:rPr>
        <w:t xml:space="preserve">PROHIBITED MEDICAL PRACTICES.  (a)  Except as provided by Subsection (b), a person performing a barbering or cosmetology service within the scope of a license or permit issued under this subchapter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an incision into the dermis layer of a person's skin, including for purposes of injecting a medication or other substance;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device, as defined by Section 551.003.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holding a license or permit issued under this subchapter may perform an act described by Subsection (a) as part of a barbering or cosmetology service if the person is licensed to perform that act in this state or is otherwise authorized by law to perform that act.  In a disciplinary action by the department related to an act in violation of Subsection (a), the license or permit holder has the burden of proving by a preponderance of the evidence that the person is licensed or otherwise authorized to perform the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another state agency regulating a profession to enforce any law related to that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1603.2110, Occupations Code, as added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