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89R3393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a program under which an individual is issued an unconditional cash payment on a regular basis to be used by the individual for any purpose.  The term does not include a program under which an individual is required to seek employment, perform work, or attend career or job training as a condition of receiving a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law, a political subdivision may not adopt or enforce an ordinance, order, regulation, or other measure that establishes or provides for the operation of a guaranteed income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