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participation by non-enrolled students in University Interscholastic League-sponsored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33.0832, Education Code, is amended by amending Subsections (c) and (e) and adding Subsections (c-2) and (e-1) to read as follows:</w:t>
      </w:r>
    </w:p>
    <w:p w:rsidR="003F3435" w:rsidRDefault="0032493E">
      <w:pPr>
        <w:spacing w:line="480" w:lineRule="auto"/>
        <w:ind w:firstLine="720"/>
        <w:jc w:val="both"/>
      </w:pPr>
      <w:r>
        <w:t xml:space="preserve">(c)</w:t>
      </w:r>
      <w:r xml:space="preserve">
        <w:t> </w:t>
      </w:r>
      <w:r xml:space="preserve">
        <w:t> </w:t>
      </w:r>
      <w:r>
        <w:t xml:space="preserve">Except as provided by </w:t>
      </w:r>
      <w:r>
        <w:rPr>
          <w:u w:val="single"/>
        </w:rPr>
        <w:t xml:space="preserve">Subsections (c-2) and</w:t>
      </w:r>
      <w:r>
        <w:t xml:space="preserve"> [</w:t>
      </w:r>
      <w:r>
        <w:rPr>
          <w:strike/>
        </w:rPr>
        <w:t xml:space="preserve">Subsection</w:t>
      </w:r>
      <w:r>
        <w:t xml:space="preserve">] (i), a public school that participates in an activity sponsored by the league </w:t>
      </w:r>
      <w:r>
        <w:rPr>
          <w:u w:val="single"/>
        </w:rPr>
        <w:t xml:space="preserve">shall</w:t>
      </w:r>
      <w:r>
        <w:t xml:space="preserve"> [</w:t>
      </w:r>
      <w:r>
        <w:rPr>
          <w:strike/>
        </w:rPr>
        <w:t xml:space="preserve">may</w:t>
      </w:r>
      <w:r>
        <w:t xml:space="preserve">]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 later than the date specified under league rule, the board of trustees of a school district or the governing body of an open-enrollment charter school may adopt a policy declining to grant non-enrolled students the opportunity to participate in league activities.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w:t>
      </w:r>
      <w:r xml:space="preserve">
        <w:t> </w:t>
      </w:r>
      <w:r>
        <w:t xml:space="preserve">[</w:t>
      </w:r>
      <w:r>
        <w:rPr>
          <w:strike/>
        </w:rPr>
        <w:t xml:space="preserve">A</w:t>
      </w:r>
      <w:r>
        <w:t xml:space="preserve">] non-enrolled student may only participate in a league activity for the school in the school district that the student would be eligible to attend based on the student's residential address. </w:t>
      </w:r>
      <w:r>
        <w:t xml:space="preserve"> </w:t>
      </w:r>
      <w:r>
        <w:t xml:space="preserve">A non-enrolled student who seeks to participate in a league activity on behalf of a school shall be required to establish minimum proof of residency acceptable to the district in the same manner as an applicant to attend a school in the district under Section 25.001.</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school that a non-enrolled student would be eligible to attend under Subsection (e) is subject to a policy adopted under Subsection (c-2), the student may participate in a league activity for the closest school, based on geographic proximity to the student's residential address, that is not subject to a policy adopted under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401 passed the Senate on April</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23,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401 passed the House on May</w:t>
      </w:r>
      <w:r xml:space="preserve">
        <w:t> </w:t>
      </w:r>
      <w:r>
        <w:t xml:space="preserve">27,</w:t>
      </w:r>
      <w:r xml:space="preserve">
        <w:t> </w:t>
      </w:r>
      <w:r>
        <w:t xml:space="preserve">2025, by the following vote:</w:t>
      </w:r>
      <w:r xml:space="preserve">
        <w:t> </w:t>
      </w:r>
      <w:r xml:space="preserve">
        <w:t> </w:t>
      </w:r>
      <w:r>
        <w:t xml:space="preserve">Yeas</w:t>
      </w:r>
      <w:r xml:space="preserve">
        <w:t> </w:t>
      </w:r>
      <w:r>
        <w:t xml:space="preserve">104, Nays</w:t>
      </w:r>
      <w:r xml:space="preserve">
        <w:t> </w:t>
      </w:r>
      <w:r>
        <w:t xml:space="preserve">35,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