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89R27418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441</w:t>
      </w:r>
    </w:p>
    <w:p w:rsidR="003F3435" w:rsidRDefault="0032493E">
      <w:pPr>
        <w:ind w:firstLine="720"/>
        <w:jc w:val="both"/>
      </w:pPr>
      <w:r>
        <w:t xml:space="preserve">(Lalani)</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441:</w:t>
      </w: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C.S.S.B.</w:t>
      </w:r>
      <w:r xml:space="preserve">
        <w:t> </w:t>
      </w:r>
      <w:r>
        <w:t xml:space="preserve">No.</w:t>
      </w:r>
      <w:r xml:space="preserve">
        <w:t> </w:t>
      </w:r>
      <w:r>
        <w:t xml:space="preserve">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the production, solicitation, disclosure, or promotion of artificial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98B, Civil Practice and Remedies Code, is amended to read as follows:</w:t>
      </w:r>
    </w:p>
    <w:p w:rsidR="003F3435" w:rsidRDefault="0032493E">
      <w:pPr>
        <w:spacing w:line="480" w:lineRule="auto"/>
        <w:jc w:val="center"/>
      </w:pPr>
      <w:r>
        <w:t xml:space="preserve">CHAPTER 98B.</w:t>
      </w:r>
      <w:r xml:space="preserve">
        <w:t> </w:t>
      </w:r>
      <w:r xml:space="preserve">
        <w:t> </w:t>
      </w:r>
      <w:r>
        <w:t xml:space="preserve">UNLAWFUL </w:t>
      </w:r>
      <w:r>
        <w:rPr>
          <w:u w:val="single"/>
        </w:rPr>
        <w:t xml:space="preserve">PRODUCTION, SOLICITATION,</w:t>
      </w:r>
      <w:r>
        <w:t xml:space="preserve"> DISCLOSURE</w:t>
      </w:r>
      <w:r>
        <w:rPr>
          <w:u w:val="single"/>
        </w:rPr>
        <w:t xml:space="preserve">,</w:t>
      </w:r>
      <w:r>
        <w:t xml:space="preserve"> OR PROMOTION OF INTIMATE VISUAL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98B.001, Civil Practice and Remedies Code, is amended by amending Subdivision (1) and adding Subdivisions (1-a), (1-b), (3),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voice, or other distinguishing characteristic, such as a unique birthmark or other recognizable feature which, when viewed by a reasonable person, is indistinguishable from the person depicted.</w:t>
      </w:r>
    </w:p>
    <w:p w:rsidR="003F3435" w:rsidRDefault="0032493E">
      <w:pPr>
        <w:spacing w:line="480" w:lineRule="auto"/>
        <w:ind w:firstLine="1440"/>
        <w:jc w:val="both"/>
      </w:pPr>
      <w:r>
        <w:rPr>
          <w:u w:val="single"/>
        </w:rPr>
        <w:t xml:space="preserve">(1-a) "Consent" means affirmative, conscious, and voluntary agreement, made by a person freely and without coercion, fraud, or misrepresentation.</w:t>
      </w:r>
      <w:r>
        <w:t xml:space="preserve"> </w:t>
      </w:r>
    </w:p>
    <w:p w:rsidR="003F3435" w:rsidRDefault="0032493E">
      <w:pPr>
        <w:spacing w:line="480" w:lineRule="auto"/>
        <w:ind w:firstLine="1440"/>
        <w:jc w:val="both"/>
      </w:pPr>
      <w:r>
        <w:rPr>
          <w:u w:val="single"/>
        </w:rPr>
        <w:t xml:space="preserve">(1-b)</w:t>
      </w:r>
      <w:r xml:space="preserve">
        <w:t> </w:t>
      </w:r>
      <w:r>
        <w:t xml:space="preserve">"Intimate parts," "promote," "sexual conduct," and "visual material" have the meanings assigned by Section 21.16,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98B, Civil Practice and Remedies Code, is amended by adding Sections 98B.0021, 98B.0022, 98B.008, and 98B.009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98B.0021.</w:t>
      </w:r>
      <w:r>
        <w:rPr>
          <w:u w:val="single"/>
        </w:rPr>
        <w:t xml:space="preserve"> </w:t>
      </w:r>
      <w:r>
        <w:rPr>
          <w:u w:val="single"/>
        </w:rPr>
        <w:t xml:space="preserve"> </w:t>
      </w:r>
      <w:r>
        <w:rPr>
          <w:u w:val="single"/>
        </w:rPr>
        <w:t xml:space="preserve">LIABILITY FOR UNLAWFUL PRODUCTION, SOLICITATION, DISCLOSURE, OR PROMOTION OF CERTAIN ARTIFICIAL INTIMATE VISUAL MATERIAL. </w:t>
      </w:r>
      <w:r>
        <w:rPr>
          <w:u w:val="single"/>
        </w:rPr>
        <w:t xml:space="preserve"> </w:t>
      </w:r>
      <w:r>
        <w:rPr>
          <w:u w:val="single"/>
        </w:rP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production, solicitation, disclosure, or promotion of the artificial intimate visual material reveals the identity of the depicted person in any manner,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accompanying or subsequent information or material related to the artificial intimate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or material provided by a third party in response to the disclosure of the artificial intimate visual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98B.0022.</w:t>
      </w:r>
      <w:r>
        <w:rPr>
          <w:u w:val="single"/>
        </w:rPr>
        <w:t xml:space="preserve"> </w:t>
      </w:r>
      <w:r>
        <w:rPr>
          <w:u w:val="single"/>
        </w:rPr>
        <w:t xml:space="preserve"> </w:t>
      </w:r>
      <w:r>
        <w:rPr>
          <w:u w:val="single"/>
        </w:rPr>
        <w:t xml:space="preserve">LIABILITY OF OWNERS OF INTERNET WEBSITES AND ARTIFICIAL INTELLIGENCE APPLICATIONS AND PAYMENT PROCESSORS.  (a) A person who owns an Internet website or application, including a social media platform, 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an Internet website or application, including a social media platform, on which artificial intimate visual material is disclosed is liable, as provided by this chapter, to the person depicted in the material for damages arising from the disclosure of the material if the person depicted requests the website or application to remove the material and the person who owns the website or application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making the request that the owner has received the request within 24 hours of receiving the request;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the material within 72 hours of receiving the request and make reasonable efforts to identify and remove any known identical copies of such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an Internet website or application, including a social media platform, shall make available on the website or application an easily accessible system that allows a person to submit a request for the removal of artificial intimate visual material and track the status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owns an Internet website or application, including a social media platform, shall make available on the website or application a clear and conspicuous notice, which may be provided through a clear and conspicuous link to another web page or disclosure, of the removal process established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in plain language that is easy to read;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the responsibilities of the person who owns the website or application under this section, including a description of how a person can submit a request for the removal of artificial intimate visual material and how to track the status of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Subsection (b), (c), or (d) is a deceptive trade practice actionable under Subchapter E, Chapter 17, Business &amp; Commerce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investigate and bring an action for injunctive relief against a person who repeatedly violates Subsection (b), (c), or (d). </w:t>
      </w:r>
      <w:r>
        <w:rPr>
          <w:u w:val="single"/>
        </w:rPr>
        <w:t xml:space="preserve"> </w:t>
      </w:r>
      <w:r>
        <w:rPr>
          <w:u w:val="single"/>
        </w:rPr>
        <w:t xml:space="preserve">If the attorney general prevails in the action, the attorney general may recover costs and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98B.008.</w:t>
      </w:r>
      <w:r>
        <w:rPr>
          <w:u w:val="single"/>
        </w:rPr>
        <w:t xml:space="preserve"> </w:t>
      </w:r>
      <w:r>
        <w:rPr>
          <w:u w:val="single"/>
        </w:rPr>
        <w:t xml:space="preserve"> </w:t>
      </w:r>
      <w:r>
        <w:rPr>
          <w:u w:val="single"/>
        </w:rPr>
        <w:t xml:space="preserve">CONFIDENTIAL IDENTITY IN CERTAIN ACTIONS.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in a suit brought under this chapter,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claimant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suit in a manner that protects the confidentiality of the claimant.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a party to the suit;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a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A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claimant is not required to use a confidential identity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98B.009.</w:t>
      </w:r>
      <w:r>
        <w:rPr>
          <w:u w:val="single"/>
        </w:rPr>
        <w:t xml:space="preserve"> </w:t>
      </w:r>
      <w:r>
        <w:rPr>
          <w:u w:val="single"/>
        </w:rPr>
        <w:t xml:space="preserve"> </w:t>
      </w:r>
      <w:r>
        <w:rPr>
          <w:u w:val="single"/>
        </w:rPr>
        <w:t xml:space="preserve">STATUTE OF LIMITATIONS.  A person must bring suit under this chapter not later than 10 years after the later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depicted in the intimate visual material that is the basis for the suit turns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