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Hinojosa of Hidalgo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447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November</w:t>
      </w:r>
      <w:r xml:space="preserve">
        <w:t> </w:t>
      </w:r>
      <w:r>
        <w:t xml:space="preserve">21,</w:t>
      </w:r>
      <w:r xml:space="preserve">
        <w:t> </w:t>
      </w:r>
      <w:r>
        <w:t xml:space="preserve">2024; February</w:t>
      </w:r>
      <w:r xml:space="preserve">
        <w:t> </w:t>
      </w:r>
      <w:r>
        <w:t xml:space="preserve">3,</w:t>
      </w:r>
      <w:r xml:space="preserve">
        <w:t> </w:t>
      </w:r>
      <w:r>
        <w:t xml:space="preserve">2025, read first time and referred to Committee on State Affairs; March</w:t>
      </w:r>
      <w:r xml:space="preserve">
        <w:t> </w:t>
      </w:r>
      <w:r>
        <w:t xml:space="preserve">17,</w:t>
      </w:r>
      <w:r xml:space="preserve">
        <w:t> </w:t>
      </w:r>
      <w:r>
        <w:t xml:space="preserve">2025, reported favorably by the following vote:</w:t>
      </w:r>
      <w:r>
        <w:t xml:space="preserve"> </w:t>
      </w:r>
      <w:r>
        <w:t xml:space="preserve"> </w:t>
      </w:r>
      <w:r>
        <w:t xml:space="preserve">Yeas 11, Nays 0; March</w:t>
      </w:r>
      <w:r xml:space="preserve">
        <w:t> </w:t>
      </w:r>
      <w:r>
        <w:t xml:space="preserve">17,</w:t>
      </w:r>
      <w:r xml:space="preserve">
        <w:t> </w:t>
      </w:r>
      <w:r>
        <w:t xml:space="preserve">2025,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 of Nueces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authorizing certain municipalities to change the date on which their general election for officers is held.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41.0052, Election Code, is amended by adding Subsection (a-3)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Subsection (a), a municipality on the Texas-Mexico border with a population of more than 85,000 that hosts the annual Texas Citrus Fiesta and holds its general election for officers on a date other than the November uniform election date may change the date on which it holds its general election for officers to the November uniform election date. </w:t>
      </w:r>
      <w:r>
        <w:rPr>
          <w:u w:val="single"/>
        </w:rPr>
        <w:t xml:space="preserve"> </w:t>
      </w:r>
      <w:r>
        <w:rPr>
          <w:u w:val="single"/>
        </w:rPr>
        <w:t xml:space="preserve">A municipality described by this subsection that changes the date of its election under this subsection may not change the date on which it holds its general election for officers to a date other than the November uniform election date.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447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