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 et al.</w:t>
      </w:r>
      <w:r xml:space="preserve">
        <w:tab wTab="150" tlc="none" cTlc="0"/>
      </w:r>
      <w:r>
        <w:t xml:space="preserve">S.B.</w:t>
      </w:r>
      <w:r xml:space="preserve">
        <w:t> </w:t>
      </w:r>
      <w:r>
        <w:t xml:space="preserve">No.</w:t>
      </w:r>
      <w:r xml:space="preserve">
        <w:t> </w:t>
      </w:r>
      <w:r>
        <w:t xml:space="preserve">455</w:t>
      </w:r>
    </w:p>
    <w:p w:rsidR="003F3435" w:rsidRDefault="0032493E">
      <w:pPr>
        <w:ind w:firstLine="720"/>
        <w:jc w:val="both"/>
      </w:pPr>
      <w:r>
        <w:t xml:space="preserve">(Morgan, Barry, Johnson, Garcia Hernandez, Bryant,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arbitration provisions in certain surplus lines insurance contracts.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981.101, Insurance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surplus lines insurance contract for a risk located wholly in this state and that contains an arbitration agreement must provide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arbitration will be: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conducted in this state unless:</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insurer and policyholder agree to a different venue after the insurer provides written notice to the policyholder of the insurer's request for a different venue;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insurer provides the policyholder with a premium credit for the costs incurred by the policyholder as a result of the change in venue;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governed by the laws of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insurance contract will be interpreted in accordance with the laws of this state.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981.101(d), Insurance Code, as added by this Act, applies only to a surplus lines insurance contract delivered, issued for delivery, or renewed on or after January 1, 2026. A surplus lines insurance contract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