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Kolkhorst,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462</w:t>
      </w:r>
    </w:p>
    <w:p w:rsidR="003F3435" w:rsidRDefault="0032493E">
      <w:pPr>
        <w:ind w:firstLine="720"/>
        <w:jc w:val="both"/>
      </w:pPr>
      <w:r>
        <w:t xml:space="preserve">(Harris Davila, Ordaz, Button,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establishing a child-care services waiting list priority for the children of certain child-care workers.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SERVICES WAITING LIST PRIORITY FOR CHILD-CARE WORKERS.  (a)  For purposes of this section, "child-care worker" means an individual employed by and working in a child-care facility licensed under Chapter 42, Human Resources Code, for a minimum of 25 hours per week. </w:t>
      </w:r>
      <w:r>
        <w:rPr>
          <w:u w:val="single"/>
        </w:rPr>
        <w:t xml:space="preserve"> </w:t>
      </w:r>
      <w:r>
        <w:rPr>
          <w:u w:val="single"/>
        </w:rPr>
        <w:t xml:space="preserve">The term does not include the owner or director of a child-care facility unless the owner's or director's child is served in a program other than a program directly supervised by the owner or director.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shall require that any waiting list for child-care services must establish a priority position for the delivery of those services to children of child-care workers who are eligible for the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child-care worker whose child receives a priority position on a waitlist as provided by Subsection (b) is subject to redetermination of the individual's eligibility for services in accordance with commission rule each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462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