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494</w:t>
      </w:r>
    </w:p>
    <w:p w:rsidR="003F3435" w:rsidRDefault="0032493E">
      <w:pPr>
        <w:ind w:firstLine="720"/>
        <w:jc w:val="both"/>
      </w:pPr>
      <w:r>
        <w:t xml:space="preserve">(Landgraf, Lopez of Bexar, Morales of Maverick, Darby)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theft of petroleum products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Act:</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"Theft of petroleum product" means conduct constituting an offense under Section 31.19, Penal Code.</w:t>
      </w:r>
    </w:p>
    <w:p w:rsidR="003F3435" w:rsidRDefault="0032493E">
      <w:pPr>
        <w:spacing w:line="480" w:lineRule="auto"/>
        <w:ind w:firstLine="720"/>
        <w:jc w:val="both"/>
      </w:pPr>
      <w:r>
        <w:t xml:space="preserve">(b)</w:t>
      </w:r>
      <w:r xml:space="preserve">
        <w:t> </w:t>
      </w:r>
      <w:r xml:space="preserve">
        <w:t> </w:t>
      </w:r>
      <w:r>
        <w:t xml:space="preserve">The commission shall appoint a task force to study and make recommendations related to preventing the theft of petroleum products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the oil and gas industry;</w:t>
      </w:r>
    </w:p>
    <w:p w:rsidR="003F3435" w:rsidRDefault="0032493E">
      <w:pPr>
        <w:spacing w:line="480" w:lineRule="auto"/>
        <w:ind w:firstLine="1440"/>
        <w:jc w:val="both"/>
      </w:pPr>
      <w:r>
        <w:t xml:space="preserve">(2)</w:t>
      </w:r>
      <w:r xml:space="preserve">
        <w:t> </w:t>
      </w:r>
      <w:r xml:space="preserve">
        <w:t> </w:t>
      </w:r>
      <w:r>
        <w:t xml:space="preserve">at least one representative from an energy trade association;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commission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  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the theft of petroleum products in this state.  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the theft of petroleum products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the theft of petroleum products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the theft of petroleum products;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the theft of petroleum products;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theft of petroleum product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the theft of petroleum products.</w:t>
      </w:r>
    </w:p>
    <w:p w:rsidR="003F3435" w:rsidRDefault="0032493E">
      <w:pPr>
        <w:spacing w:line="480" w:lineRule="auto"/>
        <w:ind w:firstLine="720"/>
        <w:jc w:val="both"/>
      </w:pPr>
      <w:r>
        <w:t xml:space="preserve">(g)</w:t>
      </w:r>
      <w:r xml:space="preserve">
        <w:t> </w:t>
      </w:r>
      <w:r xml:space="preserve">
        <w:t> </w:t>
      </w:r>
      <w:r>
        <w:t xml:space="preserve">In conducting the study under Subsection (f) of this section, the members of the task force may:</w:t>
      </w:r>
    </w:p>
    <w:p w:rsidR="003F3435" w:rsidRDefault="0032493E">
      <w:pPr>
        <w:spacing w:line="480" w:lineRule="auto"/>
        <w:ind w:firstLine="1440"/>
        <w:jc w:val="both"/>
      </w:pPr>
      <w:r>
        <w:t xml:space="preserve">(1)</w:t>
      </w:r>
      <w:r xml:space="preserve">
        <w:t> </w:t>
      </w:r>
      <w:r xml:space="preserve">
        <w:t> </w:t>
      </w:r>
      <w:r>
        <w:t xml:space="preserve">consult with any organization, governmental entity, or person the task force considers necessary; and</w:t>
      </w:r>
    </w:p>
    <w:p w:rsidR="003F3435" w:rsidRDefault="0032493E">
      <w:pPr>
        <w:spacing w:line="480" w:lineRule="auto"/>
        <w:ind w:firstLine="1440"/>
        <w:jc w:val="both"/>
      </w:pPr>
      <w:r>
        <w:t xml:space="preserve">(2)</w:t>
      </w:r>
      <w:r xml:space="preserve">
        <w:t> </w:t>
      </w:r>
      <w:r xml:space="preserve">
        <w:t> </w:t>
      </w:r>
      <w:r>
        <w:t xml:space="preserve">collaborate and share information relating to an active criminal investigation with one another regardless of whether the information would otherwise be confidential and not subject to disclosure under Chapter 552, Government Code.</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p>
    <w:p w:rsidR="003F3435" w:rsidRDefault="0032493E">
      <w:pPr>
        <w:spacing w:line="480" w:lineRule="auto"/>
        <w:ind w:firstLine="720"/>
        <w:jc w:val="both"/>
      </w:pPr>
      <w:r>
        <w:t xml:space="preserve">(i)</w:t>
      </w:r>
      <w:r xml:space="preserve">
        <w:t> </w:t>
      </w:r>
      <w:r xml:space="preserve">
        <w:t> </w:t>
      </w:r>
      <w:r>
        <w:t xml:space="preserve">The report submitted under Subsection (h) of this section:</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the theft of petroleum products, and address the long-term economic impact of the theft of petroleum products;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duration of the task force or to the designation of the task force's presiding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Railroad Commission of Texas shall appoint the theft of petroleum products task force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expires December 31, 2030.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