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45th day after the latter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child's primary permanency plan goal is changed to adoption;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court renders an order terminating parental rights with regard to the child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500 passed the Senate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500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1,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