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502</w:t>
      </w:r>
    </w:p>
    <w:p w:rsidR="003F3435" w:rsidRDefault="0032493E">
      <w:pPr>
        <w:ind w:firstLine="720"/>
        <w:jc w:val="both"/>
      </w:pPr>
      <w:r>
        <w:t xml:space="preserve">(Orr, Manuel)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peace officers commissioned by the Health and Human Services Commission's office of inspector general.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or the El Paso County Hospital District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appointed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w:t>
      </w:r>
      <w:r>
        <w:rPr>
          <w:strike/>
        </w:rPr>
        <w:t xml:space="preserve">and</w:t>
      </w:r>
      <w:r>
        <w:t xml:space="preserve">]</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r>
        <w:rPr>
          <w:u w:val="single"/>
        </w:rPr>
        <w:t xml:space="preserve">; and</w:t>
      </w:r>
    </w:p>
    <w:p w:rsidR="003F3435" w:rsidRDefault="0032493E">
      <w:pPr>
        <w:spacing w:line="480" w:lineRule="auto"/>
        <w:ind w:firstLine="1440"/>
        <w:jc w:val="both"/>
      </w:pPr>
      <w:r>
        <w:rPr>
          <w:u w:val="single"/>
        </w:rPr>
        <w:t xml:space="preserve">(34)</w:t>
      </w:r>
      <w:r>
        <w:rPr>
          <w:u w:val="single"/>
        </w:rPr>
        <w:t xml:space="preserve"> </w:t>
      </w:r>
      <w:r>
        <w:rPr>
          <w:u w:val="single"/>
        </w:rPr>
        <w:t xml:space="preserve"> </w:t>
      </w:r>
      <w:r>
        <w:rPr>
          <w:u w:val="single"/>
        </w:rPr>
        <w:t xml:space="preserve">an officer commissioned and employed by the Health and Human Services Commission's office of inspector general</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544.0107, Government Code, as effective April 1, 2025,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office of inspector general shall ensure a peace officer employed under this section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strike/>
        </w:rPr>
        <w:t xml:space="preserve">or</w:t>
      </w:r>
      <w:r>
        <w:t xml:space="preserve">] the insurance fraud unit of the Texas Department of Insurance</w:t>
      </w:r>
      <w:r>
        <w:rPr>
          <w:u w:val="single"/>
        </w:rPr>
        <w:t xml:space="preserve">, or the Health and Human Services Commission's office of inspector general</w:t>
      </w:r>
      <w:r>
        <w:t xml:space="preserv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Health and Human Services Commission's office of inspector general</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The classification officer in the office of the state auditor shall classify the position of commissioned peace officer employed as an investigator by the Health and Human Services Commission's office of inspector general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It is the intent of the 89th Legislature, Regular Session, 2025, that the amendments made by this Act to Article 2A.001, Code of Criminal Procedure, be harmonized with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