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509</w:t>
      </w:r>
    </w:p>
    <w:p w:rsidR="003F3435" w:rsidRDefault="0032493E">
      <w:pPr>
        <w:ind w:firstLine="720"/>
        <w:jc w:val="both"/>
      </w:pPr>
      <w:r>
        <w:t xml:space="preserve">(Schofield)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electronically notify the attorney general of the hearing at the e-mail address designated under Subsection (e).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court may not hold a hearing described by Subsection (a) sooner than two hours after the court provides notice to the attorney general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may, after receiving notice under Subsection (a), waive the requirement of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allow the attorney general to participate remotely in a hearing in an action under this code seeking a temporary restraining order, using any reasonably available method.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designate an e-mail address at which to receive a notice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restraining order issued in violation of this section is void and unenforceable.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