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648</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18,</w:t>
      </w:r>
      <w:r xml:space="preserve">
        <w:t> </w:t>
      </w:r>
      <w:r>
        <w:t xml:space="preserve">2024; February</w:t>
      </w:r>
      <w:r xml:space="preserve">
        <w:t> </w:t>
      </w:r>
      <w:r>
        <w:t xml:space="preserve">3,</w:t>
      </w:r>
      <w:r xml:space="preserve">
        <w:t> </w:t>
      </w:r>
      <w:r>
        <w:t xml:space="preserve">2025, read first time and referred to Committee on Business &amp; Commerce; April</w:t>
      </w:r>
      <w:r xml:space="preserve">
        <w:t> </w:t>
      </w:r>
      <w:r>
        <w:t xml:space="preserve">16,</w:t>
      </w:r>
      <w:r xml:space="preserve">
        <w:t> </w:t>
      </w:r>
      <w:r>
        <w:t xml:space="preserve">2025, reported adversely, with favorable Committee Substitute by the following vote:</w:t>
      </w:r>
      <w:r>
        <w:t xml:space="preserve"> </w:t>
      </w:r>
      <w:r>
        <w:t xml:space="preserve"> </w:t>
      </w:r>
      <w:r>
        <w:t xml:space="preserve">Yeas 10, Nays 0, one present not voting; April</w:t>
      </w:r>
      <w:r xml:space="preserve">
        <w:t> </w:t>
      </w:r>
      <w:r>
        <w:t xml:space="preserve">16,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648</w:t>
      </w:r>
      <w:r xml:space="preserve">
        <w:tab wTab="150" tlc="none" cTlc="0"/>
      </w:r>
      <w:r>
        <w:t xml:space="preserve">By:</w:t>
      </w:r>
      <w:r xml:space="preserve">
        <w:t> </w:t>
      </w:r>
      <w:r xml:space="preserve">
        <w:t> </w:t>
      </w:r>
      <w:r>
        <w:t xml:space="preserve">Blanco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recording requirements for certain instruments concerning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12.001, Property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instrument is filed for recording by an attorney, title agent, title company, or escrow company that provides closing, settlement, or other comparable transaction services in connection with the transfer of real property, or a person acting on behalf of the attorney, agent, or company, the instrument</w:t>
      </w:r>
      <w:r>
        <w:t xml:space="preserve"> [</w:t>
      </w:r>
      <w:r>
        <w:rPr>
          <w:strike/>
        </w:rPr>
        <w:t xml:space="preserve">it</w:t>
      </w:r>
      <w:r>
        <w:t xml:space="preserve">] is signed </w:t>
      </w:r>
      <w:r>
        <w:rPr>
          <w:u w:val="single"/>
        </w:rPr>
        <w:t xml:space="preserve">by the grantor and:</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and</w:t>
      </w:r>
      <w:r>
        <w:t xml:space="preserve">] acknowledged or sworn to by the grantor in the presence of two or more credible subscribing witnesses</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acknowledged or sworn to </w:t>
      </w:r>
      <w:r>
        <w:rPr>
          <w:u w:val="single"/>
        </w:rPr>
        <w:t xml:space="preserve">by the grantor</w:t>
      </w:r>
      <w:r>
        <w:t xml:space="preserve"> before and certified by an officer authorized to take acknowledgements or oaths, as applicable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instrument is filed for recording by an individual other than a person described by Subdivision (1), the instrument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signed by the grantor;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acknowledged or sworn to by the grantor and grantee in the presence of two or more credible subscribing witnesses;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acknowledged or sworn to by the grantor, the grantee, and each subscribing witness before and certified by an officer authorized to take acknowledgements or oaths, as applicable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affidavit of heirship concerning heirship to real property that is filed for recording by an individual described by Subsection (b)(2) may not be recorded unless it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individual making the affidavit;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acknowledged or sworn to by the individual making the affidavit and each heir to real property named in the affidavit that is not under a legal disability in the presence of two credible subscribing witnesses with knowledge of the facts in the affidavit;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acknowledged or sworn to by the individual making the affidavit, each heir to real property named in the affidavit that is not under a legal disability, and each subscribing witness with knowledge of the facts in the affidavit before and certified by an officer authorized to take acknowledgements or oaths,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