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et al.</w:t>
      </w:r>
      <w:r xml:space="preserve">
        <w:tab wTab="150" tlc="none" cTlc="0"/>
      </w:r>
      <w:r>
        <w:t xml:space="preserve">S.B.</w:t>
      </w:r>
      <w:r xml:space="preserve">
        <w:t> </w:t>
      </w:r>
      <w:r>
        <w:t xml:space="preserve">No.</w:t>
      </w:r>
      <w:r xml:space="preserve">
        <w:t> </w:t>
      </w:r>
      <w:r>
        <w:t xml:space="preserve">650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use of electronically readable information to verify a purchaser's age in the retail sale of alcoholic beverages.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This Act shall be known as the Deshawn Jagwan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109.61, Alcoholic Beverage Code, is amended by adding Subsections (a-1), (a-2), (a-3), and (d-1) and amending Subsections (b)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shall visually inspect and access electronically readable information on a driver's license, commercial driver's license, or identification certificate for the purpose of verifying a purchaser's age in any retail sale of an alcoholic beverage. </w:t>
      </w:r>
      <w:r>
        <w:rPr>
          <w:u w:val="single"/>
        </w:rPr>
        <w:t xml:space="preserve"> </w:t>
      </w:r>
      <w:r>
        <w:rPr>
          <w:u w:val="single"/>
        </w:rPr>
        <w:t xml:space="preserve">A person required to access electronically readable information under this subsection may manually enter into an electronic reader the information on the driver's license, commercial driver's license, or identification certificate if the license or certificate cannot be electronically scanned. </w:t>
      </w:r>
      <w:r>
        <w:rPr>
          <w:u w:val="single"/>
        </w:rPr>
        <w:t xml:space="preserve"> </w:t>
      </w:r>
      <w:r>
        <w:rPr>
          <w:u w:val="single"/>
        </w:rPr>
        <w:t xml:space="preserve">This subsection does not apply to the holder of a food and beverage certificate operating a restaurant on the premises.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 may not take any disciplinary action against the holder of a permit or license issued under this code for a violation of Subsection (a-1)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or permit holder's failure to access the electronically readable information is a result of a disruption of, interruption of, or inability to access Internet connectivity services or data connectivity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or permit holder visually inspected the purchaser's driver's license, commercial driver's license, or identification certificate to verify the purchaser's age.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commission shall not take any disciplinary action against the holder of a permit or license issued under this code for a violation of Subsection (a-1) for the retail sale of an alcoholic beverage made before September 1, 2027.  This subsection expires September 1, 2028.</w:t>
      </w:r>
    </w:p>
    <w:p w:rsidR="003F3435" w:rsidRDefault="0032493E">
      <w:pPr>
        <w:spacing w:line="480" w:lineRule="auto"/>
        <w:ind w:firstLine="720"/>
        <w:jc w:val="both"/>
      </w:pPr>
      <w:r>
        <w:t xml:space="preserve">(b)</w:t>
      </w:r>
      <w:r xml:space="preserve">
        <w:t> </w:t>
      </w:r>
      <w:r xml:space="preserve">
        <w:t> </w:t>
      </w:r>
      <w:r>
        <w:t xml:space="preserve">A person may not retain information accessed under this section [</w:t>
      </w:r>
      <w:r>
        <w:rPr>
          <w:strike/>
        </w:rPr>
        <w:t xml:space="preserve">unless the commission by rule requires the information to be retained. The person may not retain the information longer than the commission requires</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rPr>
          <w:strike/>
        </w:rPr>
        <w:t xml:space="preserve">A</w:t>
      </w:r>
      <w:r>
        <w:t xml:space="preserve">] person who violates this section commits an offense. An offense under this section is a Class A misdemeanor.</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It is a defense to prosecution for failure to access electronically readable information on a driver's license, commercial driver's license, or identification certificate as required by Subsection (a-1)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failure to access the electronically readable information as required by Subsection (a-1) was caused by a disruption of, interruption of, or inability to access Internet connectivity services or data connectivity services that prevented the person from accessing the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purchaser was 40 years of age or older on the date of the purchase.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2027, the Texas Alcoholic Beverage Commission shall adopt rules to implement Section 109.61(a-1), Alcoholic Beverage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