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650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December</w:t>
      </w:r>
      <w:r xml:space="preserve">
        <w:t> </w:t>
      </w:r>
      <w:r>
        <w:t xml:space="preserve">18,</w:t>
      </w:r>
      <w:r xml:space="preserve">
        <w:t> </w:t>
      </w:r>
      <w:r>
        <w:t xml:space="preserve">2024; February</w:t>
      </w:r>
      <w:r xml:space="preserve">
        <w:t> </w:t>
      </w:r>
      <w:r>
        <w:t xml:space="preserve">3,</w:t>
      </w:r>
      <w:r xml:space="preserve">
        <w:t> </w:t>
      </w:r>
      <w:r>
        <w:t xml:space="preserve">2025, read first time and referred to Committee on State Affairs; March</w:t>
      </w:r>
      <w:r xml:space="preserve">
        <w:t> </w:t>
      </w:r>
      <w:r>
        <w:t xml:space="preserve">18,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0; March</w:t>
      </w:r>
      <w:r xml:space="preserve">
        <w:t> </w:t>
      </w:r>
      <w:r>
        <w:t xml:space="preserve">18,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650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requiring the use of electronically readable information to verify a purchaser's age in the retail sale of alcoholic beverages.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109.61, Alcoholic Beverage Code, is amended by adding Subsections (a-1) and (a-2)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shall access electronically readable information on a driver's license, commercial driver's license, or identification certificate for the purpose of verifying a purchaser's age in any retail sale of an alcoholic beverage. </w:t>
      </w:r>
      <w:r>
        <w:rPr>
          <w:u w:val="single"/>
        </w:rPr>
        <w:t xml:space="preserve"> </w:t>
      </w:r>
      <w:r>
        <w:rPr>
          <w:u w:val="single"/>
        </w:rPr>
        <w:t xml:space="preserve">This subsection does not apply to the retail sale of an alcoholic beverage on the premises of the holder of a package store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not take any disciplinary action against the holder of a permit or license issued under this code for a violation of Subsection (a-1) for the retail sale of an alcoholic beverage made before September 1, 2027.  This subsection expires September 1, 2028.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September 1, 2027, the Texas Alcoholic Beverage Commission shall adopt rules to implement Section 109.61(a-1), Alcoholic Beverage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650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