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651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requirement that a veterans county service office report to the commissioners court or a designated county executive official.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434.032(a),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In a county with a population of 200,000 or more, the commissioners court shall maintain a veterans county service office.  The office must: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 separate and distinct from other county offices;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 staffed by at least one full-time employee;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report directly to the commissioners court </w:t>
      </w:r>
      <w:r>
        <w:rPr>
          <w:u w:val="single"/>
        </w:rPr>
        <w:t xml:space="preserve">or a designated county executive official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651 passed the Senate on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651 passed the House on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140, Nays</w:t>
      </w:r>
      <w:r xml:space="preserve">
        <w:t> </w:t>
      </w:r>
      <w:r>
        <w:t xml:space="preserve">6,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651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