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89R2744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653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refund of sales and use taxes paid on the purchase or use of building materials used to construct certain subsidized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151, Tax Code, is amended by adding Section 151.4293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151.4293.</w:t>
      </w:r>
      <w:r>
        <w:rPr>
          <w:u w:val="single"/>
        </w:rPr>
        <w:t xml:space="preserve"> </w:t>
      </w:r>
      <w:r>
        <w:rPr>
          <w:u w:val="single"/>
        </w:rPr>
        <w:t xml:space="preserve"> </w:t>
      </w:r>
      <w:r>
        <w:rPr>
          <w:u w:val="single"/>
        </w:rPr>
        <w:t xml:space="preserve">REFUND FOR BUILDING MATERIALS USED IN CERTAIN AFFORDABLE HOUSING PROJECTS.  (a) </w:t>
      </w:r>
      <w:r>
        <w:rPr>
          <w:u w:val="single"/>
        </w:rPr>
        <w:t xml:space="preserve"> </w:t>
      </w:r>
      <w:r>
        <w:rPr>
          <w:u w:val="single"/>
        </w:rPr>
        <w:t xml:space="preserve">In this section, "qualifying affordable housing" means housing: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located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which is subsidized by a federal or state tax credit issued for the purpose of constructing affordable housing;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which the state or federal tax credit described by Subdivision (2) is awarded on or after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 refund in the amount and under the conditions provided by this section of the taxes paid under this chapter on the purchase or use of building materials used to construct qualifying affordable housing.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Subsections (d) and (e), the amount of the refund to which a person is entitled under this section is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single-family home that is qualifying affordable housing that the person constructs, the amount of the taxes paid under this chapter on not more than $50,000 of building materials purchased for the construction of the home during the 180-day period preceding the date the person files an application for the refund under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residential unit constructed by the person in an apartment complex that is qualifying affordable housing, the amount of the taxes paid under this chapter on not more than $5,000 of building materials purchased for the construction of the unit during the 180-day period preceding the date the person files an application for the refund under Subsection (f).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claim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 in refunds under Subsection (c)(1) in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$100,000 in refunds under Subsection (c)(2) in a 180-day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total amount of refunds that may be awarded under this section to all applicants in a state fiscal year may not exceed $2 million. </w:t>
      </w:r>
      <w:r>
        <w:rPr>
          <w:u w:val="single"/>
        </w:rPr>
        <w:t xml:space="preserve"> </w:t>
      </w:r>
      <w:r>
        <w:rPr>
          <w:u w:val="single"/>
        </w:rPr>
        <w:t xml:space="preserve">The refunds shall be allocated on a first-come, first-served basis, based on the date each application is submitted under Subsection (f).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must apply to the comptroller in the manner prescribed by the comptroller to receive a refund under this section. A person may not again submit an application for a refund before the 180th day after the date the person last submitted an application for a refund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shall adopt rules necessary to implement and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