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705</w:t>
      </w:r>
    </w:p>
    <w:p w:rsidR="003F3435" w:rsidRDefault="0032493E">
      <w:pPr>
        <w:ind w:firstLine="720"/>
        <w:jc w:val="both"/>
      </w:pPr>
      <w:r>
        <w:t xml:space="preserve">(Gerdes)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air conditioning and refrigeration contractors advisory board.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1302.201,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1302.201.</w:t>
      </w:r>
      <w:r xml:space="preserve">
        <w:t> </w:t>
      </w:r>
      <w:r xml:space="preserve">
        <w:t> </w:t>
      </w:r>
      <w:r>
        <w:t xml:space="preserve">ADVISORY BOARD MEMBERSHIP.  The air conditioning and refrigeration contractors advisory board consists of nine members appointed by the presiding officer of the commission[</w:t>
      </w:r>
      <w:r>
        <w:rPr>
          <w:strike/>
        </w:rPr>
        <w:t xml:space="preserve">,</w:t>
      </w:r>
      <w:r>
        <w:t xml:space="preserve">] with the commission's approval[</w:t>
      </w:r>
      <w:r>
        <w:rPr>
          <w:strike/>
        </w:rPr>
        <w:t xml:space="preserve">, and two ex officio nonvoting members</w:t>
      </w:r>
      <w:r>
        <w:t xml:space="preserve">].  One member of the advisory board must be a public member.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1302.205(a),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Appointed advisory board members serve staggered six-year terms. </w:t>
      </w:r>
      <w:r>
        <w:t xml:space="preserve"> </w:t>
      </w:r>
      <w:r>
        <w:t xml:space="preserve">The terms of </w:t>
      </w:r>
      <w:r>
        <w:rPr>
          <w:u w:val="single"/>
        </w:rPr>
        <w:t xml:space="preserve">three</w:t>
      </w:r>
      <w:r>
        <w:t xml:space="preserve"> [</w:t>
      </w:r>
      <w:r>
        <w:rPr>
          <w:strike/>
        </w:rPr>
        <w:t xml:space="preserve">two</w:t>
      </w:r>
      <w:r>
        <w:t xml:space="preserve">] appointed members expire on February 1 of each odd-numbered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1302.203, Occupations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705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