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706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recognition of a handgun license issued by another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411.173(b),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A valid license to carry a handgun issued by any other state is recognized in this state.</w:t>
      </w:r>
      <w:r>
        <w:t xml:space="preserve"> </w:t>
      </w:r>
      <w:r>
        <w:t xml:space="preserve"> </w:t>
      </w:r>
      <w:r>
        <w:t xml:space="preserve">The governor shall negotiate [</w:t>
      </w:r>
      <w:r>
        <w:rPr>
          <w:strike/>
        </w:rPr>
        <w:t xml:space="preserve">an agreement</w:t>
      </w:r>
      <w:r>
        <w:t xml:space="preserve">] with any other state </w:t>
      </w:r>
      <w:r>
        <w:rPr>
          <w:u w:val="single"/>
        </w:rPr>
        <w:t xml:space="preserve">an agreement</w:t>
      </w:r>
      <w:r>
        <w:t xml:space="preserve"> that provides for the </w:t>
      </w:r>
      <w:r>
        <w:rPr>
          <w:u w:val="single"/>
        </w:rPr>
        <w:t xml:space="preserve">reciprocal recognition</w:t>
      </w:r>
      <w:r>
        <w:t xml:space="preserve"> [</w:t>
      </w:r>
      <w:r>
        <w:rPr>
          <w:strike/>
        </w:rPr>
        <w:t xml:space="preserve">issuance</w:t>
      </w:r>
      <w:r>
        <w:t xml:space="preserve">] of a license to carry a handgun </w:t>
      </w:r>
      <w:r>
        <w:rPr>
          <w:u w:val="single"/>
        </w:rPr>
        <w:t xml:space="preserve">if the other state requires such an agreement before recognizing a license to carry a handgun issued by this state</w:t>
      </w:r>
      <w:r>
        <w:t xml:space="preserve"> [</w:t>
      </w:r>
      <w:r>
        <w:rPr>
          <w:strike/>
        </w:rPr>
        <w:t xml:space="preserve">under which a license issued by the other state is recognized in this state or shall issue a proclamation that a license issued by the other state is recognized in this state if the attorney general of the State of Texas determines that a background check of each applicant for a license issued by that state is initiated by state or local authorities or an agent of the state or local authorities before the license is issued. </w:t>
      </w:r>
      <w:r>
        <w:rPr>
          <w:strike/>
        </w:rPr>
        <w:t xml:space="preserve"> </w:t>
      </w:r>
      <w:r>
        <w:rPr>
          <w:strike/>
        </w:rPr>
        <w:t xml:space="preserve">For purposes of this subsection, "background check" means a search of the National Crime Information Center database and the Interstate Identification Index maintained by the Federal Bureau of Investigation</w:t>
      </w:r>
      <w:r>
        <w:t xml:space="preserve">]. </w:t>
      </w:r>
      <w:r>
        <w:t xml:space="preserve"> </w:t>
      </w:r>
      <w:r>
        <w:rPr>
          <w:u w:val="single"/>
        </w:rPr>
        <w:t xml:space="preserve">The department shall publish on its Internet website and annually update a list of states in which a license to carry a handgun issued by this state is recognized.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411.173(c) and (d), Government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706 passed the Senate on March</w:t>
      </w:r>
      <w:r xml:space="preserve">
        <w:t> </w:t>
      </w:r>
      <w:r>
        <w:t xml:space="preserve">19,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26, Nays</w:t>
      </w:r>
      <w:r xml:space="preserve">
        <w:t> </w:t>
      </w:r>
      <w:r>
        <w:t xml:space="preserve">5.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706 passed the House on May</w:t>
      </w:r>
      <w:r xml:space="preserve">
        <w:t> </w:t>
      </w:r>
      <w:r>
        <w:t xml:space="preserve">21,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89, Nays</w:t>
      </w:r>
      <w:r xml:space="preserve">
        <w:t> </w:t>
      </w:r>
      <w:r>
        <w:t xml:space="preserve">51,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