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89R4457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715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generation reliability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39.1592(a), Utilities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electric generation facility in the ERCOT power region </w:t>
      </w:r>
      <w:r>
        <w:rPr>
          <w:u w:val="single"/>
        </w:rPr>
        <w:t xml:space="preserve">that is subject to</w:t>
      </w:r>
      <w:r>
        <w:t xml:space="preserve"> [</w:t>
      </w:r>
      <w:r>
        <w:rPr>
          <w:strike/>
        </w:rPr>
        <w:t xml:space="preserve">for which</w:t>
      </w:r>
      <w:r>
        <w:t xml:space="preserve">] a standard generator interconnection agreement</w:t>
      </w:r>
      <w:r>
        <w:rPr>
          <w:u w:val="single"/>
        </w:rPr>
        <w:t xml:space="preserve">,</w:t>
      </w:r>
      <w:r>
        <w:t xml:space="preserve"> [</w:t>
      </w:r>
      <w:r>
        <w:rPr>
          <w:strike/>
        </w:rPr>
        <w:t xml:space="preserve">is signed on or after January 1, 2027, that</w:t>
      </w:r>
      <w:r>
        <w:t xml:space="preserve">] has been in operation for at least one year, and [</w:t>
      </w:r>
      <w:r>
        <w:rPr>
          <w:strike/>
        </w:rPr>
        <w:t xml:space="preserve">that</w:t>
      </w:r>
      <w:r>
        <w:t xml:space="preserve">] is not a self-generator.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Sections 52(b) and (c), Chapter 410 (H.B. 1500), Acts of the 88th Legislature, Regular Session, 2023, are repealed.</w:t>
      </w:r>
    </w:p>
    <w:p w:rsidR="003F3435" w:rsidRDefault="0032493E">
      <w:pPr>
        <w:spacing w:line="480" w:lineRule="auto"/>
        <w:ind w:firstLine="720"/>
        <w:jc w:val="both"/>
      </w:pPr>
      <w:r>
        <w:t xml:space="preserve">(b)</w:t>
      </w:r>
      <w:r xml:space="preserve">
        <w:t> </w:t>
      </w:r>
      <w:r xml:space="preserve">
        <w:t> </w:t>
      </w:r>
      <w:r>
        <w:t xml:space="preserve">Notwithstanding the deadline provided by Section 39.1592(b), Utilities Code, an owner or operator of an electric generation facility to which Section 39.1592(b), Utilities Code, applies shall make the first demonstration required by Section 39.1592(b), Utilities Code, not later than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