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745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enhancing the criminal penalty for the offense of intoxication manslaughter in certain circumstances.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49.09(b-2), Penal Code, is amended to read as follows:</w:t>
      </w:r>
    </w:p>
    <w:p w:rsidR="003F3435" w:rsidRDefault="0032493E">
      <w:pPr>
        <w:spacing w:line="480" w:lineRule="auto"/>
        <w:ind w:firstLine="720"/>
        <w:jc w:val="both"/>
      </w:pPr>
      <w:r>
        <w:t xml:space="preserve">(b-2)</w:t>
      </w:r>
      <w:r xml:space="preserve">
        <w:t> </w:t>
      </w:r>
      <w:r xml:space="preserve">
        <w:t> </w:t>
      </w:r>
      <w:r>
        <w:t xml:space="preserve">An offense under Section 49.08 is a felony of the first degree if it is shown on the trial of the offense that the person caused the death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person described by Subsection (b-1)</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more than one person during the same criminal transaction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745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28, Nays</w:t>
      </w:r>
      <w:r xml:space="preserve">
        <w:t> </w:t>
      </w:r>
      <w:r>
        <w:t xml:space="preserve">2.</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745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136, Nays</w:t>
      </w:r>
      <w:r xml:space="preserve">
        <w:t> </w:t>
      </w:r>
      <w:r>
        <w:t xml:space="preserve">9,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