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Kolkhorst</w:t>
      </w:r>
      <w:r xml:space="preserve">
        <w:tab wTab="150" tlc="none" cTlc="0"/>
      </w:r>
      <w:r>
        <w:t xml:space="preserve">S.B.</w:t>
      </w:r>
      <w:r xml:space="preserve">
        <w:t> </w:t>
      </w:r>
      <w:r>
        <w:t xml:space="preserve">No.</w:t>
      </w:r>
      <w:r xml:space="preserve">
        <w:t> </w:t>
      </w:r>
      <w:r>
        <w:t xml:space="preserve">745</w:t>
      </w:r>
    </w:p>
    <w:p w:rsidR="003F3435" w:rsidRDefault="0032493E">
      <w:pPr>
        <w:spacing w:line="480" w:lineRule="auto"/>
        <w:ind w:firstLine="720"/>
        <w:jc w:val="both"/>
      </w:pPr>
      <w:r>
        <w:t xml:space="preserve">(In the Senate</w:t>
      </w:r>
      <w:r xml:space="preserve">
        <w:t> </w:t>
      </w:r>
      <w:r>
        <w:t xml:space="preserve">-</w:t>
      </w:r>
      <w:r xml:space="preserve">
        <w:t> </w:t>
      </w:r>
      <w:r>
        <w:t xml:space="preserve">Filed January</w:t>
      </w:r>
      <w:r xml:space="preserve">
        <w:t> </w:t>
      </w:r>
      <w:r>
        <w:t xml:space="preserve">8,</w:t>
      </w:r>
      <w:r xml:space="preserve">
        <w:t> </w:t>
      </w:r>
      <w:r>
        <w:t xml:space="preserve">2025; February</w:t>
      </w:r>
      <w:r xml:space="preserve">
        <w:t> </w:t>
      </w:r>
      <w:r>
        <w:t xml:space="preserve">7,</w:t>
      </w:r>
      <w:r xml:space="preserve">
        <w:t> </w:t>
      </w:r>
      <w:r>
        <w:t xml:space="preserve">2025, read first time and referred to Committee on Criminal Justice; April</w:t>
      </w:r>
      <w:r xml:space="preserve">
        <w:t> </w:t>
      </w:r>
      <w:r>
        <w:t xml:space="preserve">3,</w:t>
      </w:r>
      <w:r xml:space="preserve">
        <w:t> </w:t>
      </w:r>
      <w:r>
        <w:t xml:space="preserve">2025, reported favorably by the following vote:</w:t>
      </w:r>
      <w:r>
        <w:t xml:space="preserve"> </w:t>
      </w:r>
      <w:r>
        <w:t xml:space="preserve"> </w:t>
      </w:r>
      <w:r>
        <w:t xml:space="preserve">Yeas 7, Nays 0; April</w:t>
      </w:r>
      <w:r xml:space="preserve">
        <w:t> </w:t>
      </w:r>
      <w:r>
        <w:t xml:space="preserve">3,</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 </w:t>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enhancing the criminal penalty for the offense of intoxication manslaughter in certain circumstances.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49.09(b-2), Penal Code, is amended to read as follows:</w:t>
      </w:r>
    </w:p>
    <w:p w:rsidR="003F3435" w:rsidRDefault="0032493E">
      <w:pPr>
        <w:spacing w:line="480" w:lineRule="auto"/>
        <w:ind w:firstLine="720"/>
        <w:jc w:val="both"/>
      </w:pPr>
      <w:r>
        <w:t xml:space="preserve">(b-2)</w:t>
      </w:r>
      <w:r xml:space="preserve">
        <w:t> </w:t>
      </w:r>
      <w:r xml:space="preserve">
        <w:t> </w:t>
      </w:r>
      <w:r>
        <w:t xml:space="preserve">An offense under Section 49.08 is a felony of the first degree if it is shown on the trial of the offense that the person caused the death of</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a person described by Subsection (b-1)</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more than one person during the same criminal transaction</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745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