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746</w:t>
      </w:r>
    </w:p>
    <w:p w:rsidR="003F3435" w:rsidRDefault="0032493E">
      <w:pPr>
        <w:ind w:firstLine="720"/>
        <w:jc w:val="both"/>
      </w:pPr>
      <w:r>
        <w:t xml:space="preserve">(Thompson, et al.)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guardianship matters.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1002.013,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1002.013.</w:t>
      </w:r>
      <w:r xml:space="preserve">
        <w:t> </w:t>
      </w:r>
      <w:r xml:space="preserve">
        <w:t> </w:t>
      </w:r>
      <w:r>
        <w:t xml:space="preserve">GUARDIAN AD LITEM.  "Guardian ad litem" means a person appointed by a court to represent the best interests of an incapacitated person </w:t>
      </w:r>
      <w:r>
        <w:rPr>
          <w:u w:val="single"/>
        </w:rPr>
        <w:t xml:space="preserve">or proposed ward</w:t>
      </w:r>
      <w:r>
        <w:t xml:space="preserve"> in a guardianship proceeding.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1054.051(a),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Subject to Subsection (b), the judge may appoint a guardian ad litem to represent the interests of an incapacitated person </w:t>
      </w:r>
      <w:r>
        <w:rPr>
          <w:u w:val="single"/>
        </w:rPr>
        <w:t xml:space="preserve">or proposed ward</w:t>
      </w:r>
      <w:r>
        <w:t xml:space="preserve"> in a guardianship proceeding.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1054.054(b),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guardian ad litem shall protect the incapacitated person </w:t>
      </w:r>
      <w:r>
        <w:rPr>
          <w:u w:val="single"/>
        </w:rPr>
        <w:t xml:space="preserve">or proposed ward</w:t>
      </w:r>
      <w:r>
        <w:t xml:space="preserve"> whose interests the guardian has been appointed to represent in a manner that will enable the court to determine the action that will be in that person's best interests.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Section 1054.056(a),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Subject to Subsection (b), a guardian ad litem appointed under this subchapter or Section 1102.001 or 1202.054 to represent the interests of an incapacitated person </w:t>
      </w:r>
      <w:r>
        <w:rPr>
          <w:u w:val="single"/>
        </w:rPr>
        <w:t xml:space="preserve">or proposed ward</w:t>
      </w:r>
      <w:r>
        <w:t xml:space="preserve"> in a guardianship proceeding involving the creation, modification, or termination of a guardianship is not liable for civil damages arising from a recommendation made or an opinion given in the capacity of guardian ad litem.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Section 1055.001(b), Estates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person who has an interest that is adverse to a proposed ward or incapacitated person may not: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file an application to create a guardianship </w:t>
      </w:r>
      <w:r>
        <w:rPr>
          <w:u w:val="single"/>
        </w:rPr>
        <w:t xml:space="preserve">or for the appointment of a guardian</w:t>
      </w:r>
      <w:r>
        <w:t xml:space="preserve"> for the proposed ward or incapacitated person;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contest the creation of a guardianship for the proposed ward or incapacitated person;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contest the appointment of a person as a guardian of the proposed ward or incapacitated person; [</w:t>
      </w:r>
      <w:r>
        <w:rPr>
          <w:strike/>
        </w:rPr>
        <w:t xml:space="preserve">or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contest an application for complete restoration of a ward's capacity or modification of a ward's guardianship</w:t>
      </w:r>
      <w:r>
        <w:rPr>
          <w:u w:val="single"/>
        </w:rPr>
        <w:t xml:space="preserve">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file a motion or complaint to request the removal of a guardian or contest the request for removal of a guardian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Section 1163.051, Estates Code, is amended by adding Subsections (d) and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court approves the annual account, the court shall enter an order to that effect.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court does not approve the annual account, the court shall enter an order to that effect and require the guardian of the estate to file another annual account within a period prescribed by the order, which may not be later than the 30th day after the date the order is entered.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7</w:t>
      </w:r>
      <w:r>
        <w:t xml:space="preserve">.</w:t>
      </w:r>
      <w:r xml:space="preserve">
        <w:t> </w:t>
      </w:r>
      <w:r xml:space="preserve">
        <w:t> </w:t>
      </w:r>
      <w:r>
        <w:t xml:space="preserve">Section 1163.104, Estates Code, is amended by amending Subsection (a) and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If the judge is satisfied that the facts stated in the report are true, the court shall approve the report </w:t>
      </w:r>
      <w:r>
        <w:rPr>
          <w:u w:val="single"/>
        </w:rPr>
        <w:t xml:space="preserve">and enter an order to that effect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court does not approve the annual report, the court shall enter an order to that effect and require the guardian of the person to file another annual report within a period prescribed by the order, which may not be later than the 30th day after the date the order is entered.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8</w:t>
      </w:r>
      <w:r>
        <w:t xml:space="preserve">.</w:t>
      </w:r>
      <w:r xml:space="preserve">
        <w:t> </w:t>
      </w:r>
      <w:r xml:space="preserve">
        <w:t> </w:t>
      </w:r>
      <w:r>
        <w:t xml:space="preserve">Sections 1054.051, 1054.054, 1054.056, 1055.001, 1163.051, and 1163.104, Estates Code, as amended by this Act, apply to a guardianship proceeding that is pending or commenced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9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746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