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748</w:t>
      </w:r>
    </w:p>
    <w:p w:rsidR="003F3435" w:rsidRDefault="0032493E">
      <w:pPr>
        <w:ind w:firstLine="720"/>
        <w:jc w:val="both"/>
      </w:pPr>
      <w:r>
        <w:t xml:space="preserve">(Gerdes)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regulation of laser hair removal.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401.5011, Health and Safety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401.5011.</w:t>
      </w:r>
      <w:r xml:space="preserve">
        <w:t> </w:t>
      </w:r>
      <w:r xml:space="preserve">
        <w:t> </w:t>
      </w:r>
      <w:r>
        <w:t xml:space="preserve">GENERAL POWERS AND DUTIES.  The executive director shall administer and enforce this </w:t>
      </w:r>
      <w:r>
        <w:rPr>
          <w:u w:val="single"/>
        </w:rPr>
        <w:t xml:space="preserve">subchapter</w:t>
      </w:r>
      <w:r>
        <w:t xml:space="preserve"> [</w:t>
      </w:r>
      <w:r>
        <w:rPr>
          <w:strike/>
        </w:rPr>
        <w:t xml:space="preserve">chapter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Sections 401.516(b) and (c), Health and Safety Code, are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748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