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748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January</w:t>
      </w:r>
      <w:r xml:space="preserve">
        <w:t> </w:t>
      </w:r>
      <w:r>
        <w:t xml:space="preserve">9,</w:t>
      </w:r>
      <w:r xml:space="preserve">
        <w:t> </w:t>
      </w:r>
      <w:r>
        <w:t xml:space="preserve">2025; February</w:t>
      </w:r>
      <w:r xml:space="preserve">
        <w:t> </w:t>
      </w:r>
      <w:r>
        <w:t xml:space="preserve">7,</w:t>
      </w:r>
      <w:r xml:space="preserve">
        <w:t> </w:t>
      </w:r>
      <w:r>
        <w:t xml:space="preserve">2025, read first time and referred to Committee on Business &amp; Commerce; May</w:t>
      </w:r>
      <w:r xml:space="preserve">
        <w:t> </w:t>
      </w:r>
      <w:r>
        <w:t xml:space="preserve">5,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May</w:t>
      </w:r>
      <w:r xml:space="preserve">
        <w:t> </w:t>
      </w:r>
      <w:r>
        <w:t xml:space="preserve">5,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regulation of laser hair removal.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401.5011, Health and Safety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401.5011.</w:t>
      </w:r>
      <w:r xml:space="preserve">
        <w:t> </w:t>
      </w:r>
      <w:r xml:space="preserve">
        <w:t> </w:t>
      </w:r>
      <w:r>
        <w:t xml:space="preserve">GENERAL POWERS AND DUTIES.  The executive director shall administer and enforce this </w:t>
      </w:r>
      <w:r>
        <w:rPr>
          <w:u w:val="single"/>
        </w:rPr>
        <w:t xml:space="preserve">subchapter</w:t>
      </w:r>
      <w:r>
        <w:t xml:space="preserve"> [</w:t>
      </w:r>
      <w:r>
        <w:rPr>
          <w:strike/>
        </w:rPr>
        <w:t xml:space="preserve">chapter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Sections 401.516(b) and (c), Health and Safety Code, are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748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