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765</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13,</w:t>
      </w:r>
      <w:r xml:space="preserve">
        <w:t> </w:t>
      </w:r>
      <w:r>
        <w:t xml:space="preserve">2025; February</w:t>
      </w:r>
      <w:r xml:space="preserve">
        <w:t> </w:t>
      </w:r>
      <w:r>
        <w:t xml:space="preserve">7,</w:t>
      </w:r>
      <w:r xml:space="preserve">
        <w:t> </w:t>
      </w:r>
      <w:r>
        <w:t xml:space="preserve">2025, read first time and referred to Committee on Business &amp; Commerce; March</w:t>
      </w:r>
      <w:r xml:space="preserve">
        <w:t> </w:t>
      </w:r>
      <w:r>
        <w:t xml:space="preserve">5,</w:t>
      </w:r>
      <w:r xml:space="preserve">
        <w:t> </w:t>
      </w:r>
      <w:r>
        <w:t xml:space="preserve">2025, reported adversely, with favorable Committee Substitute by the following vote:</w:t>
      </w:r>
      <w:r>
        <w:t xml:space="preserve"> </w:t>
      </w:r>
      <w:r>
        <w:t xml:space="preserve"> </w:t>
      </w:r>
      <w:r>
        <w:t xml:space="preserve">Yeas 11, Nays 0; March</w:t>
      </w:r>
      <w:r xml:space="preserve">
        <w:t> </w:t>
      </w:r>
      <w:r>
        <w:t xml:space="preserve">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765</w:t>
      </w:r>
      <w:r xml:space="preserve">
        <w:tab wTab="150" tlc="none" cTlc="0"/>
      </w:r>
      <w:r>
        <w:t xml:space="preserve">By:</w:t>
      </w:r>
      <w:r xml:space="preserve">
        <w:t> </w:t>
      </w:r>
      <w:r xml:space="preserve">
        <w:t> </w:t>
      </w:r>
      <w:r>
        <w:t xml:space="preserve">King</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confidentiality of fraud detection and deterrence information under the public information law.</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552, Government Code, is amended by adding Section 552.164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552.164.</w:t>
      </w:r>
      <w:r>
        <w:rPr>
          <w:u w:val="single"/>
        </w:rPr>
        <w:t xml:space="preserve"> </w:t>
      </w:r>
      <w:r>
        <w:rPr>
          <w:u w:val="single"/>
        </w:rPr>
        <w:t xml:space="preserve"> </w:t>
      </w:r>
      <w:r>
        <w:rPr>
          <w:u w:val="single"/>
        </w:rPr>
        <w:t xml:space="preserve">EXCEPTION: CONFIDENTIALITY OF INFORMATION REGARDING FRAUD DETECTION AND DETERRENCE MEASURES.  (a) </w:t>
      </w:r>
      <w:r>
        <w:rPr>
          <w:u w:val="single"/>
        </w:rPr>
        <w:t xml:space="preserve"> </w:t>
      </w:r>
      <w:r>
        <w:rPr>
          <w:u w:val="single"/>
        </w:rPr>
        <w:t xml:space="preserve">Information in the custody of a governmental body that relates to fraud detection and deterrence measures is confidential and excepted from the requirements of Section 552.021. </w:t>
      </w:r>
      <w:r>
        <w:rPr>
          <w:u w:val="single"/>
        </w:rPr>
        <w:t xml:space="preserve"> </w:t>
      </w:r>
      <w:r>
        <w:rPr>
          <w:u w:val="single"/>
        </w:rPr>
        <w:t xml:space="preserve">For purposes of this section, fraud detection information includes risk assessments, reports, data, protocols, technology specifications, manuals, instructions, investigative materials, crossmatches, mental impressions, and communications that may reveal the methods or means by which a governmental body prevents, investigates, or evaluates fraud.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confidentiality protection provided by Subsection (a) does not affect the ability of a governmental body to share information described by Subsection (a) as authorized by other law for law enforcement and fraud detection and prevention purposes.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765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