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823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labeling and representation of imported shrimp;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w:t>
      </w:r>
      <w:r>
        <w:rPr>
          <w:u w:val="single"/>
        </w:rPr>
        <w:t xml:space="preserve"> </w:t>
      </w:r>
      <w:r>
        <w:rPr>
          <w:u w:val="single"/>
        </w:rPr>
        <w:t xml:space="preserve">For purposes of this section, a shrimp is considered to be imported if the shrimp does not satisfy the United States country of origin requirements for wild or farm-raised shellfish established by 7 C.F.R. Section 60.128, or successor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supplier, wholesaler, distributor, or wholesale distributor may not sell shrimp in this state unless the shrimp's label includes a clear and conspicuous notice stating whether the shrimp is imported.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restaurant shall not label or represent imported shrimp as "Texas shrimp," "American shrimp," "Domestic shrimp," or "Gulf shrimp."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 public health district, a county, or a municipality that under Chapter 431 or 437 requires a restaurant, food service supplier, wholesaler, distributor, or wholesale distributor to hold a license or permit to operate in this state may impose an administrative penalty against the license or permit holder for a violation of this section or a rule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the imposition of an administrative penalty under this section that the license or permit holder believed in good faith the shrimp was not imported.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436.083,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