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89R8559 SCF-D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annual study on the economic, environmental, and financial impact of illegal immigration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411, Government Code, is amended by adding Section 411.02091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411.02091.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 IMMIGRATION IMPACT STUDY.  (a) </w:t>
      </w:r>
      <w:r>
        <w:rPr>
          <w:u w:val="single"/>
        </w:rPr>
        <w:t xml:space="preserve"> </w:t>
      </w:r>
      <w:r>
        <w:rPr>
          <w:u w:val="single"/>
        </w:rPr>
        <w:t xml:space="preserve">The department shall conduct an annual study on the economic, environmental, and financial impact of illegal immigration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collaborate or contract with a state or federal agency, a political subdivision, an institution of higher education, or a nonprofit organization or other private entity to assist in conducting the study required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September 1 of each year, the department shall prepare and submit a report to the governor, lieutenant governor, and legislature containing the results of the study conducted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