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835</w:t>
      </w:r>
    </w:p>
    <w:p w:rsidR="003F3435" w:rsidRDefault="0032493E">
      <w:pPr>
        <w:ind w:firstLine="720"/>
        <w:jc w:val="both"/>
      </w:pPr>
      <w:r>
        <w:t xml:space="preserve">(Leach, Johnson, Little, Cook, Meyer,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certain nondisclosure or confidentiality provisions with respect to an act of sexual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Trey's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w:t>
      </w:r>
      <w:r>
        <w:rPr>
          <w:u w:val="single"/>
        </w:rPr>
        <w:t xml:space="preserve"> </w:t>
      </w:r>
      <w:r>
        <w:rPr>
          <w:u w:val="single"/>
        </w:rPr>
        <w:t xml:space="preserve">Nothing in this section may be construed to prohibit a person, including a party, from agreeing to keep confidential any other provision of a settlement agreement, including the amount or payment terms of a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the change in law made by this Act applies to an agreement entered into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person, including a party, may not enforce or attempt to enforce an agreement or a provision of an agreement described by Section 129C.002, Civil Practice and Remedies Code, as added by this Act, entered into before the effective date of this Act unless the person obtains a declaratory judgment under Chapter 37, Civil Practice and Remedies Code, that is final and not subject to appeal and declares that the agreement or provision is enforceable.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