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89R9201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 committed against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CHILD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party from notifying, or limits the party's ability to notify, a local or state law enforcement agency or any state or federal regulatory agency of any act of sexual abuse committed against a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a party from disclosing to any person, including during any related investigation, prosecution, legal proceeding, or dispute resolution, facts surrounding any act of sexual abuse committed against a child, including the identity of the alleged offender.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