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municipal regulation of certain mixed-use and multifamily residential development projects and conversion of certain commercial buildings to mixed-use and multifamily residential occupancy.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211, Local Government Code, is amended by adding Section 211.0011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ZONING REGULATION OF MIXED-USE RESIDENTIAL AND MULTIFAMILY RESIDENTIAL USE AND DEVELOPMENT.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"mixed-use residential" and "multifamily residential" have the meanings assigned by Section 218.001.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under this chapter related to zoning regulations and the determination of zoning district boundaries in connection with mixed-use residential use and development and multifamily residential use and development is subject to Chapter 218.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</w:t>
      </w:r>
      <w:r>
        <w:rPr>
          <w:u w:val="single"/>
        </w:rPr>
        <w:t xml:space="preserve"> </w:t>
      </w:r>
      <w:r>
        <w:rPr>
          <w:u w:val="single"/>
        </w:rPr>
        <w:t xml:space="preserve">REGULATION OF MIXED-USE AND MULTIFAMILY RESIDENTIAL USE AND DEVELOPMENT IN CERTAIN MUNICIPALITIES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</w:t>
      </w:r>
      <w:r>
        <w:rPr>
          <w:u w:val="single"/>
        </w:rPr>
        <w:t xml:space="preserve"> 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"Heavy industrial use" means a storage, processing, or manufacturing use: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processes using flammable or explosive materials;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hazardous conditions;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noxious or offensive from odors, smoke, noise, fumes, or vibrations.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"Mixed-use residential," when used to describe land use or development, means the use or development, as applicable, of a site consisting of residential and nonresidential uses in which the residential uses are at least 65 percent of the total square footage of the development.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the use or development of a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"Multifamily residential," when used to describe land use or development, means the use or development, as applicable, of a site for three or more dwelling units within one or more buildings.  The term includes the use or development of a residential condominium.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applies only to a municipality with a population greater than 150,000 that is wholly or partly located in a county with a population greater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RESTRICTIONS AND RULES.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affect the authority of a municipality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the municipality's regulations on short-term rental units to a mixed-use residential or multifamily residential development;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water quality protection regulations to implement or comply with water quality requirements under state or federal law, including Chapter 366,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a density bonus program or other voluntary program that allows for site development standards that are less restrictive than the standards described by this chapter;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the following regulations that are generally applicable to other developments in the municipality: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chapter: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sewer and water access requirements;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building codes;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stormwater mitigation requirements;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regulations related to historic preservation, including protecting historic landmarks or property in the boundaries of a local historic district.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</w:t>
      </w:r>
      <w:r>
        <w:rPr>
          <w:u w:val="single"/>
        </w:rPr>
        <w:t xml:space="preserve"> </w:t>
      </w:r>
      <w:r>
        <w:rPr>
          <w:u w:val="single"/>
        </w:rPr>
        <w:t xml:space="preserve">ZONING AND DEVELOPMENT REGULATIONS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MIXED-USE RESIDENTIAL AND MULTIFAMILY RESIDENTIAL USES ALLOWED.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subject to Subsection (c), a municipality shall allow mixed-use residential use and development or multifamily residential use and development in a zoning classification that allows office, commercial, retail, warehouse, or mixed-use use or development as an allowed use under the classification.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subject to Subsection (c), a municipality may not require the change of a zoning district or land use classification or regulation or an approval of an amendment, exception, or variance to a zoning district or land use classification or regulation prior to allowing a mixed-use residential use or development or multifamily residential use or development in an area covered by a zoning classification described by Subsection (a).  An amendment, exception, or variance to a zoning district or land use classification or regulation includes a special exception, zoning variance, site development variance, subdivision variance, conditional use approval, special use permit, comprehensive plan amendment, or other discretionary approval to allow a mixed-use residential use or development or multifamily residential use or development.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zoning classification that allows heavy industrial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 located within: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1,000 feet of an existing heavy industrial use or development site;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3,000 feet of an airport or military base;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area designated by a municipality as a clear zone or accident potential zone.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MIXED-USE RESIDENTIAL AND MULTIFAMILY RESIDENTIAL USE OR DEVELOPMENT.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municipality may not adopt or enforce an ordinance, zoning restriction, or other regulation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imposes on a mixed-use residential or multifamily residential development: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density that is more restrictive than the greater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residential density allowed in the municipality; or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36 units per acre;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building height that is more restrictive than the greater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height that would apply to an office, commercial, retail, or warehouse development constructed on the site;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45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setback or buffer requirement that is more restrictive than the lesser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setback or buffer requirement that would apply to an office, commercial, retail, or warehouse development constructed on the site;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25 feet;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mixed-use residential or multifamily residential development to provide: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dwelling unit;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multilevel parking structure;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the ratio of the total building floor area of a mixed-use residential or multifamily residential development in relation to the lot area of the development;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multifamily residential development not located in an area zoned for mixed-use residential use to contain nonresidential uses.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if a municipal authority responsible for approving a building permit or other authorization required for the construction of a mixed-use residential or multifamily residential development determines that a proposed development meets municipal land development regulations in accordance with this subchapter, the municipal authority: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administratively approve the permit or other authorization;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further action by the governing body of the municipality for the approval to take effect.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</w:t>
      </w:r>
      <w:r>
        <w:rPr>
          <w:u w:val="single"/>
        </w:rPr>
        <w:t xml:space="preserve"> </w:t>
      </w:r>
      <w:r>
        <w:rPr>
          <w:u w:val="single"/>
        </w:rPr>
        <w:t xml:space="preserve">FEES AND REGULATIONS APPLICABLE TO CONVERSION OF CERTAIN USES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"permit" has the meaning assigned by Section 245.001.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building or the structural components of the building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used for office, retail, or warehouse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proposed to be converted from nonresidential occupancy to mixed-use residential or multifamily residential occupancy for at least 65 percent of the building and at least 65 percent of each floor of the building that is fit for occupancy;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at least five years before the proposed date to start the conversion.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REGULATIONS PROHIBITED.  Notwithstanding any other law, a municipality may not, in connection with the use, development, construction, or occupancy of a building proposed to be converted to mixed-use residential or multifamily residential use,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preparation of a traffic impact analysis or other study relating to the effect the proposed converted building would have on traffic or traffic operations;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construction of improvements or payment of a fee in connection with mitigating traffic effects related to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additional parking spaces, other than the parking spaces that already exist on the site of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extension, upgrade, replacement, or oversizing of a utility facility except as necessary to provide the minimum capacity needed to serve the proposed converted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 requirement, including a requirement related to the exterior, windows, internal environment of a building, or interior space dimensions of an apartment, that is more restrictive than the applicable minimum standard under the International Building Code as adopted as a municipal commercial building code under Section 214.216.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IMPACT FEE PROHIBITED.  Notwithstanding any other law, a municipality may not impose an impact fee, as defined by Section 395.001, on land where a building has been converted to mixed-use residential or multifamily residential use unless the land on which the building is located was already subject to an impact fee before a building permit related to the conversion was filed with the municipality.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</w:t>
      </w:r>
      <w:r>
        <w:rPr>
          <w:u w:val="single"/>
        </w:rPr>
        <w:t xml:space="preserve"> </w:t>
      </w:r>
      <w:r>
        <w:rPr>
          <w:u w:val="single"/>
        </w:rPr>
        <w:t xml:space="preserve">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218.301.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"housing organization" means 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organization or other person adversely affected or aggrieved by a violation of this chapter may bring an action for declaratory or injunctive relief against a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award court costs and reasonable attorney's fees to a claimant who prevails in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including Chapter 15, Civil Practice and Remedies Code, an action brought under this section must be brought in a county in which all or part of the real property that is the subject of the action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Fifteenth Court of Appeals has exclusive intermediate appellate jurisdiction over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395.011,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218.204 and Subsection (b-1), political</w:t>
      </w:r>
      <w:r>
        <w:t xml:space="preserve"> [</w:t>
      </w:r>
      <w:r>
        <w:rPr>
          <w:strike/>
        </w:rPr>
        <w:t xml:space="preserve">Political</w:t>
      </w:r>
      <w:r>
        <w:t xml:space="preserve">] subdivisions may enact or impose impact fees on land within their corporate boundaries or extraterritorial jurisdictions only by complying with this chapter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enact or impose an impact fee on land within its</w:t>
      </w:r>
      <w:r>
        <w:t xml:space="preserve">[</w:t>
      </w:r>
      <w:r>
        <w:rPr>
          <w:strike/>
        </w:rPr>
        <w:t xml:space="preserve">, except that impact fees may not be enacted or imposed in the</w:t>
      </w:r>
      <w:r>
        <w:t xml:space="preserve">] extraterritorial jurisdiction for roadway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Subchapter B, Chapter 218, Local Government Code, as added by this Act, applies only to a mixed-use residential or multifamily residential development project initiated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Subchapter C, Chapter 218, Local Government Code, as added by this Act, applies only to a building proposed to be converted to mixed-use residential or multifamily residential use in which a building permit was submitted to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840 passed the Senate on March</w:t>
      </w:r>
      <w:r xml:space="preserve">
        <w:t> </w:t>
      </w:r>
      <w:r>
        <w:t xml:space="preserve">24,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23, Nays</w:t>
      </w:r>
      <w:r xml:space="preserve">
        <w:t> </w:t>
      </w:r>
      <w:r>
        <w:t xml:space="preserve">7; and that the Senate concurred in House amendments on May</w:t>
      </w:r>
      <w:r xml:space="preserve">
        <w:t> </w:t>
      </w:r>
      <w:r>
        <w:t xml:space="preserve">26,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840 passed the House, with amendments, on May</w:t>
      </w:r>
      <w:r xml:space="preserve">
        <w:t> </w:t>
      </w:r>
      <w:r>
        <w:t xml:space="preserve">21,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106, Nays</w:t>
      </w:r>
      <w:r xml:space="preserve">
        <w:t> </w:t>
      </w:r>
      <w:r>
        <w:t xml:space="preserve">33,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