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89R26874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2493E">
      <w:pPr>
        <w:ind w:firstLine="720"/>
        <w:jc w:val="both"/>
      </w:pPr>
      <w:r>
        <w:t xml:space="preserve">(Hefner, Alders, et al.)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Gates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certain mixed-use and multifamily residential development projects and conversion of certain commercial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ZONING REGULATION OF MIXED-USE RESIDENTIAL AND MULTIFAMILY RESIDENTIAL USE AND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"mixed-use residential" and "multifamily residential" have the meanings assigned by Section 218.001.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under this chapter related to zoning regulations and the determination of zoning district boundaries in connection with mixed-use residential use and development and multifamily residential use and development is subject to Chapter 218.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affect the authority of a municipality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the municipality's regulations on short-term rental units to a mixed-use residential or multifamily residential development;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water quality protection regulations to implement or comply with water quality requirements under state or federal law, including Chapter 366,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 density bonus program or other voluntary program that allows for site development standards that are less restrictive than the standards described by this chapter.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ZONING AND DEVELOPMENT REGULATIONS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MIXED-USE RESIDENTIAL AND MULTIFAMILY RESIDENTIAL USES ALLOWED.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shall allow mixed-use residential use and development or multifamily residential use and development in a zoning classification that allows office, commercial, retail, warehouse, or mixed-use use or development as an allowed use under the classification.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may not require the change of a zoning district or land use classification or regulation or an approval of an amendment, exception, or variance to a zoning district or land use classification or regulation prior to allowing a mixed-use residential use or development or multifamily residential use or development in an area covered by a zoning classification described by Subsection (a). 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a mixed-use residential use or development or multifamily residential use or development.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zoning classification that allows heavy industrial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located 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area designated by a municipality as a clear zone or accident potential zone.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MIXED-USE RESIDENTIAL AND MULTIFAMILY RESIDENTIAL USE OR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may not adopt or enforce an ordinance, zoning restriction, or other regulation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on a mixed-use residential or multifamily residential development: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building height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height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45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is more restrictive than the lesser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25 feet;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mixed-use residential or multifamily residential development to provide: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dwelling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multilevel parking structure;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the ratio of the total building floor area of a mixed-use residential or multifamily residential development in relation to the lot area of the development;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multifamily residential development not located in an area zoned for mixed-use residential use to contain nonresidential uses.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if a municipal authority responsible for approving a building permit or other authorization required for the construction of a mixed-use residential or multifamily residential development determines that a proposed development meets municipal land development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building or the structural components of the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for office, retail, or warehouse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nonresidential occupancy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Notwithstanding any other law,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award court costs and reasonable attorney's fees to a claimant who prevails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218.204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Subchapter B, Chapter 218, Local Government Code, as added by this Act, applies only to a mixed-use residential or multifamily residential development project initiated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Subchapter C, 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