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840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17,</w:t>
      </w:r>
      <w:r xml:space="preserve">
        <w:t> </w:t>
      </w:r>
      <w:r>
        <w:t xml:space="preserve">2025; February</w:t>
      </w:r>
      <w:r xml:space="preserve">
        <w:t> </w:t>
      </w:r>
      <w:r>
        <w:t xml:space="preserve">13,</w:t>
      </w:r>
      <w:r xml:space="preserve">
        <w:t> </w:t>
      </w:r>
      <w:r>
        <w:t xml:space="preserve">2025, read first time and referred to Committee on Local Government;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5, Nays 2; March</w:t>
      </w:r>
      <w:r xml:space="preserve">
        <w:t> </w:t>
      </w:r>
      <w:r>
        <w:t xml:space="preserve">18,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840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certain municipal regulation of certain mixed-use and multifamily residential development projects and conversion of certain commercial buildings to mixed-use and multifamily residential occupancy.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211, Local Government Code, is amended by adding Section 211.0011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ZONING REGULATION OF MIXED-USE RESIDENTIAL AND MULTIFAMILY RESIDENTIAL USE AND DEVELOPMENT.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"mixed-use residential" and "multifamily residential" have the meanings assigned by Section 218.001.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under this chapter related to zoning regulations and the determination of zoning district boundaries in connection with mixed-use residential use and development and multifamily residential use and development is subject to Chapter 218.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7, Local Government Code, is amended by adding Chapter 218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218. </w:t>
      </w:r>
      <w:r>
        <w:rPr>
          <w:u w:val="single"/>
        </w:rPr>
        <w:t xml:space="preserve"> </w:t>
      </w:r>
      <w:r>
        <w:rPr>
          <w:u w:val="single"/>
        </w:rPr>
        <w:t xml:space="preserve">REGULATION OF MIXED-USE AND MULTIFAMILY RESIDENTIAL USE AND DEVELOPMENT IN CERTAIN MUNICIPALITIES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</w:t>
      </w:r>
      <w:r>
        <w:rPr>
          <w:u w:val="single"/>
        </w:rPr>
        <w:t xml:space="preserve"> </w:t>
      </w:r>
      <w:r>
        <w:rPr>
          <w:u w:val="single"/>
        </w:rPr>
        <w:t xml:space="preserve">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"Heavy industrial use" means a storage, processing, or manufacturing use: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processes using flammable or explosive materials;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hazardous conditions;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noxious or offensive from odors, smoke, noise, fumes, or vibrations.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"Mixed-use residential," when used to describe land use or development, means the use or development, as applicable, of a site consisting of residential and nonresidential uses in which the residential uses are at least 65 percent of the total square footage of the development.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the use or development of a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"Multifamily residential," when used to describe land use or development, means the use or development, as applicable, of a site for three or more dwelling units within one or more buildings.  The term includes the use or development of a residential condominium.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chapter applies only to a municipality with a population greater than 90,000 that is wholly or partly located in a county with a population greater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RESTRICTIONS AND RULES. </w:t>
      </w:r>
      <w:r>
        <w:rPr>
          <w:u w:val="single"/>
        </w:rPr>
        <w:t xml:space="preserve"> </w:t>
      </w:r>
      <w:r>
        <w:rPr>
          <w:u w:val="single"/>
        </w:rPr>
        <w:t xml:space="preserve">This chapter does not affect the authority of a municipality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apply the municipality's regulations on short-term rental units to a mixed-use residential or multifamily residential development;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or enforce water quality protection regulations to implement or comply with water quality requirements under state or federal law, including Chapter 366,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or enforce a density bonus program or other voluntary program that allows for site development standards that are less restrictive than the standards described by this chapter.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</w:t>
      </w:r>
      <w:r>
        <w:rPr>
          <w:u w:val="single"/>
        </w:rPr>
        <w:t xml:space="preserve"> </w:t>
      </w:r>
      <w:r>
        <w:rPr>
          <w:u w:val="single"/>
        </w:rPr>
        <w:t xml:space="preserve">ZONING AND DEVELOPMENT REGULATIONS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MIXED-USE RESIDENTIAL AND MULTIFAMILY RESIDENTIAL USES ALLOWED.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subject to Subsection (c), a municipality shall allow mixed-use residential use and development or multifamily residential use and development in a zoning classification that allows office, commercial, retail, warehouse, or mixed-use use or development as an allowed use under the classification.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subject to Subsection (c), a municipality may not require the change of a zoning district or land use classification or regulation or an approval of an amendment, exception, or variance to a zoning district or land use classification or regulation prior to allowing a mixed-use residential use or development or multifamily residential use or development in an area covered by a zoning classification described by Subsection (a).  An amendment, exception, or variance to a zoning district or land use classification or regulation includes a special exception, zoning variance, site development variance, subdivision variance, conditional use approval, special use permit, comprehensive plan amendment, or other discretionary approval to allow a mixed-use residential use or development or multifamily residential use or development.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zoning classification that allows heavy industrial use;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land located within 1,000 feet of an existing heavy industrial use or development site, airport, or military base.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MIXED-USE RESIDENTIAL AND MULTIFAMILY RESIDENTIAL USE OR DEVELOPMENT.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municipality may not adopt or enforce an ordinance, zoning restriction, or other regulation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imposes on a mixed-use residential or multifamily residential development: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density that is more restrictive than the greater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residential density allowed in the municipality; or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36 units per acre;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building height that is more restrictive than the greater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height that would apply to an office, commercial, retail, or warehouse development constructed on the site;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45 feet;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setback or buffer requirement that is more restrictive than the lesser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setback or buffer requirement that would apply to an office, commercial, retail, or warehouse development constructed on the site;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25 feet;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mixed-use residential or multifamily residential development to provide: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one parking space per dwelling unit;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multi-level parking structure;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restricts the ratio of the total building floor area of a mixed-use residential or multifamily residential development in relation to the lot area of the development;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multifamily residential development not located in an area zoned for mixed-use residential use to contain nonresidential uses.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if a municipal authority responsible for approving a building permit or other authorization required for the construction of a mixed-use residential or multifamily residential development determines that a proposed development meets municipal land development regulations in accordance with this subchapter, the municipal authority: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administratively approve the permit or other authorization;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require further action by the governing body of the municipality for the approval to take effect.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</w:t>
      </w:r>
      <w:r>
        <w:rPr>
          <w:u w:val="single"/>
        </w:rPr>
        <w:t xml:space="preserve"> </w:t>
      </w:r>
      <w:r>
        <w:rPr>
          <w:u w:val="single"/>
        </w:rPr>
        <w:t xml:space="preserve">FEES AND REGULATIONS APPLICABLE TO CONVERSION OF CERTAIN USES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"permit" has the meaning assigned by Section 245.001.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building or the structural components of the building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used for office, retail, or warehouse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proposed to be converted from nonresidential occupancy to mixed-use residential or multifamily residential occupancy for at least 65 percent of the building and at least 65 percent of each floor of the building that is fit for occupancy;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at least five years before the proposed date to start the conversion.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FEE WAIVER.  Notwithstanding any other law, a municipality may not charge a fee in connection with the submission, review, or approval of an application for a permit related to the use, development, or construction of a building proposed to be converted to mixed-use residential or multifamily residential use, including any fee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acquiring a building permit;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closure of a street or sidewalk adjacent to the proposed converted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expedited permit review for the proposed converted building if the municipality has adopted an accelerated residential building permit review process.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PARKLAND DEDICATION AND FEE PROHIBITED.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"parkland," "parkland dedication," and "parkland dedication fee" have the meanings assigned by Section 212.201.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Subchapter H, Chapter 212, a municipality may not require the dedication of parkland or impose a parkland dedication fee in connection with a building proposed to be converted to mixed-use residential or multifamily residential 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REGULATIONS PROHIBITED.  Notwithstanding any other law, a municipality may not, in connection with the use, development, construction, or occupancy of a building proposed to be converted to mixed-use residential or multifamily residential use,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preparation of a traffic impact analysis or other study relating to the effect the proposed converted building would have on traffic or traffic operations;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construction of improvements or payment of a fee in connection with mitigating traffic effects related to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additional parking spaces, other than the parking spaces that already exist on the site of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extension, upgrade, replacement, or oversizing of a utility facility except as necessary to provide the minimum capacity needed to serve the proposed converted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 requirement, including a requirement related to the exterior, windows, internal environment of a building, or interior space dimensions of an apartment, that is more restrictive than the applicable minimum standard under the International Building Code as adopted as a municipal commercial building code under Section 214.216.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IMPACT FEE PROHIBITED.  Notwithstanding any other law, a municipality may not impose an impact fee, as defined by Section 395.001, on land where a building has been converted to mixed-use residential or multifamily residential use unless the land on which the building is located was already subject to an impact fee before a building permit related to the conversion was filed with the municipality.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</w:t>
      </w:r>
      <w:r>
        <w:rPr>
          <w:u w:val="single"/>
        </w:rPr>
        <w:t xml:space="preserve"> </w:t>
      </w:r>
      <w:r>
        <w:rPr>
          <w:u w:val="single"/>
        </w:rPr>
        <w:t xml:space="preserve">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218.301.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"housing organization" means a: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a person adversely affected or aggrieved by a violation of this chapter may bring an action for economic damages or declaratory or injunctive relief against a municipality or an officer of a municipality in the officer's official capacity.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organization may bring an action for declaratory or injunctive relief for a violation of this chapter against a municipality or an officer of a municipality in the officer's official capacity.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who prevails in an action brought under Subsection (b) or (c) is entitled to recover court costs and reasonable attorney's fees.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including Chapter 15, Civil Practice and Remedies Code, an action brought under this section must be brought in a county in which all or part of the real property that is the subject of the action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Fifteenth Court of Appeals has exclusive intermediate appellate jurisdiction over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a municipality to suit and from liability is waived to the extent of liability created by this section. </w:t>
      </w:r>
      <w:r>
        <w:rPr>
          <w:u w:val="single"/>
        </w:rPr>
        <w:t xml:space="preserve"> </w:t>
      </w:r>
      <w:r>
        <w:rPr>
          <w:u w:val="single"/>
        </w:rPr>
        <w:t xml:space="preserve">Official immunity of a municipal officer or employee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395.011,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218.206 and Subsection (b-1), political</w:t>
      </w:r>
      <w:r>
        <w:t xml:space="preserve"> [</w:t>
      </w:r>
      <w:r>
        <w:rPr>
          <w:strike/>
        </w:rPr>
        <w:t xml:space="preserve">Political</w:t>
      </w:r>
      <w:r>
        <w:t xml:space="preserve">] subdivisions may enact or impose impact fees on land within their corporate boundaries or extraterritorial jurisdictions only by complying with this chapter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not enact or impose an impact fee on land within its</w:t>
      </w:r>
      <w:r>
        <w:t xml:space="preserve">[</w:t>
      </w:r>
      <w:r>
        <w:rPr>
          <w:strike/>
        </w:rPr>
        <w:t xml:space="preserve">, except that impact fees may not be enacted or imposed in the</w:t>
      </w:r>
      <w:r>
        <w:t xml:space="preserve">] extraterritorial jurisdiction for roadway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Subchapter B, Chapter 218, Local Government Code, as added by this Act, applies only to a mixed-use residential or multifamily residential development project initiated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Subchapter C, Chapter 218, Local Government Code, as added by this Act, applies only to a building proposed to be converted to mixed-use residential or multifamily residential use in which a building permit was submitted to a municipality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840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