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et al.</w:t>
      </w:r>
      <w:r xml:space="preserve">
        <w:tab wTab="150" tlc="none" cTlc="0"/>
      </w:r>
      <w:r>
        <w:t xml:space="preserve">S.B.</w:t>
      </w:r>
      <w:r xml:space="preserve">
        <w:t> </w:t>
      </w:r>
      <w:r>
        <w:t xml:space="preserve">No.</w:t>
      </w:r>
      <w:r xml:space="preserve">
        <w:t> </w:t>
      </w:r>
      <w:r>
        <w:t xml:space="preserve">843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Texas Education Agency database of school district and open-enrollment charter school bonds, taxes, and bond-related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45, Education Code, is amended by adding Section 45.114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45.114.</w:t>
      </w:r>
      <w:r>
        <w:rPr>
          <w:u w:val="single"/>
        </w:rPr>
        <w:t xml:space="preserve"> </w:t>
      </w:r>
      <w:r>
        <w:rPr>
          <w:u w:val="single"/>
        </w:rPr>
        <w:t xml:space="preserve"> </w:t>
      </w:r>
      <w:r>
        <w:rPr>
          <w:u w:val="single"/>
        </w:rPr>
        <w:t xml:space="preserve">BOND, TAX, AND PROJECT DATABASE.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"Bond" means a bond described by Section 45.001.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"Charter district" means an open-enrollment charter school designated as a charter district under Section 12.135.</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"Database" means the database established under this section.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"Maintenance tax" means a tax described by Section 45.002.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develop and maintain a database that includes current information regarding school district or open-enrollment charter school, including charter district, bonds, taxes, and bond-related projects,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each bond planned, proposed, or issued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language of the ballot proposition under Section 45.003(b);</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projected interest and sinking fund tax rate associated with a proposed bond;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 of an election held for the purpose of issuing a proposed bond;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list of the projects to be funded using the bond;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other data related to capital projects, such as new or renovated facilities, funded wholly or partly using the bond, including data regarding funding sources for the projects, project costs, project budget, and project size;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any increase in the interest and sinking fund tax rate resulting from issued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bond issued for an open-enrollment charter school, including a charter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list of the projects to be funded using the bond;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maintenance taxes that have been levied or proposed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school district's proposed or approved tax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language of the ballot proposition under Section 45.003(d);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any election held under Section 26.08, Tax Code, including the ad valorem tax rate proposed by the school district for purposes of the election;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report generation function to allow the agency to generate reports of the information described by Subdivisions (1), (2), and (3), as applicable, for each school district and open-enrollment charter school, including a charter district, disaggregated by geographic area;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function that allows for the proposal of updates or corrections to the information included in the database.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school district or open-enrollment charter school, including a charter district, shall provide the agency with the information described by Subsections (b)(1) through (4) and any other information requested by the agency for the purpose of maintaining the database established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may contract with a third party as necessary for the development or maintenance of the database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Education Agency is required to implement a provision of this Act only if the legislature appropriates money specifically for that purpose. </w:t>
      </w:r>
      <w:r>
        <w:t xml:space="preserve"> </w:t>
      </w:r>
      <w:r>
        <w:t xml:space="preserve">If the legislature does not appropriate money specifically for that purpose, the agency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