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843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Texas Education Agency database of school district and open-enrollment charter school bonds, taxes, and bond-related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 Education Code, is amended by adding Section 45.114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45.114.</w:t>
      </w:r>
      <w:r>
        <w:rPr>
          <w:u w:val="single"/>
        </w:rPr>
        <w:t xml:space="preserve"> </w:t>
      </w:r>
      <w:r>
        <w:rPr>
          <w:u w:val="single"/>
        </w:rPr>
        <w:t xml:space="preserve"> </w:t>
      </w:r>
      <w:r>
        <w:rPr>
          <w:u w:val="single"/>
        </w:rPr>
        <w:t xml:space="preserve">BOND, TAX, AND PROJECT DATABASE.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"Bond" means a bond described by Section 45.001.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"Charter district" means an open-enrollment charter school designated as a charter district under Section 12.135.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"Database" means the database established under this section.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"Maintenance tax" means a tax described by Section 45.002.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develop and maintain a database that includes current information regarding school district or open-enrollment charter school, including charter district, bonds, taxes, and bond-related projects,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each bond planned, proposed, or issued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language of the ballot proposition under Section 45.003(b);</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projected interest and sinking fund tax rate associated with a proposed bond;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 of an election held for the purpose of issuing a proposed bond;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list of the projects to be funded using the bond;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other data related to capital projects, such as new or renovated facilities, funded wholly or partly using the bond, including data regarding funding sources for the projects, project costs, project budget, and project size;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any increase in the interest and sinking fund tax rate resulting from issued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bond issued for an open-enrollment charter school, including a charter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list of the projects to be funded using the bond;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maintenance taxes that have been levied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school district's proposed or approved tax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language of the ballot proposition under Section 45.003(d);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any election held under Section 26.08, Tax Code, including the ad valorem tax rate proposed by the school district for purposes of the election;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report generation function to allow the agency to generate reports of the information described by Subdivisions (1), (2), and (3), as applicable, for each school district and open-enrollment charter school, including a charter district, disaggregated by geographic area;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function that allows for the proposal of updates or corrections to the information included in the database.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school district or open-enrollment charter school, including a charter district, shall provide the agency with the information described by Subsections (b)(1) through (4) and any other information requested by the agency for the purpose of maintaining the database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may contract with a third party as necessary for the development or maintenance of the database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agency shall transmit the information described above to the Bond Review Board to satisfy the local government reporting requirements under Section 1231.025 of the Government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Education Agency is required to implement a provision of this Act only if the legislature appropriates money specifically for that purpose. </w:t>
      </w:r>
      <w:r>
        <w:t xml:space="preserve"> </w:t>
      </w:r>
      <w:r>
        <w:t xml:space="preserve">If the legislature does not appropriate money specifically for that purpose, the agency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843 passed the Senate on April</w:t>
      </w:r>
      <w:r xml:space="preserve">
        <w:t> </w:t>
      </w:r>
      <w:r>
        <w:t xml:space="preserve">24,</w:t>
      </w:r>
      <w:r xml:space="preserve">
        <w:t> </w:t>
      </w:r>
      <w:r>
        <w:t xml:space="preserve">2025, by the following vote:  Yeas</w:t>
      </w:r>
      <w:r xml:space="preserve">
        <w:t> </w:t>
      </w:r>
      <w:r>
        <w:t xml:space="preserve">30, Nays</w:t>
      </w:r>
      <w:r xml:space="preserve">
        <w:t> </w:t>
      </w:r>
      <w:r>
        <w:t xml:space="preserve">1; and that the Senate concurred in House amendment on May 26,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843 passed the House, with amendment, on May 20, 2025, by the following vote:  Yeas</w:t>
      </w:r>
      <w:r xml:space="preserve">
        <w:t> </w:t>
      </w:r>
      <w:r>
        <w:t xml:space="preserve">144, Nays</w:t>
      </w:r>
      <w:r xml:space="preserve">
        <w:t> </w:t>
      </w:r>
      <w:r>
        <w:t xml:space="preserve">0, four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