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89R3496 AMF-D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843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Texas Education Agency database of school district bonds, taxes, and bond-related projects.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E, Chapter 45, Education Code, is amended by adding Section 45.114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45.114.</w:t>
      </w:r>
      <w:r>
        <w:rPr>
          <w:u w:val="single"/>
        </w:rPr>
        <w:t xml:space="preserve"> </w:t>
      </w:r>
      <w:r>
        <w:rPr>
          <w:u w:val="single"/>
        </w:rPr>
        <w:t xml:space="preserve"> </w:t>
      </w:r>
      <w:r>
        <w:rPr>
          <w:u w:val="single"/>
        </w:rPr>
        <w:t xml:space="preserve">BOND, TAX, AND PROJECT DATABASE.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"Bond" means a bond described by Section 45.001.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"Database" means the database established under this section.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"Maintenance tax" means a tax described by Section 45.002.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shall develop and maintain a database that includes current information regarding school district bonds, taxes, and bond-related projects,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each bond issued or proposed by a school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language of the ballot proposition under Section 45.003(b);</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projected interest and sinking fund tax rate associated with a proposed bond;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result of an election held for the purpose of issuing a proposed bond;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list of the projects to be funded using the bond;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accounting of the use of the proceeds of any issued bond, including descriptions of any projects paid for with the proceeds;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any increase in the interest and sinking fund tax rate resulting from issued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maintenance taxes that have been levied or proposed by a school district: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each school district's proposed or approved tax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language of the ballot proposition under Section 45.003(d);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results of any election held under Section 26.08, Tax Code, including the ad valorem tax rate proposed by the school district for purposes of the election;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report generation function to allow the agency to generate reports of the information described by Subdivisions (1) and (2) for each school district, disaggregated by geographic area;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function that allows for the proposal of updates or corrections to the information included in the database.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school district shall provide the agency with the information described by Subsections (b)(1) through (3) and any other information requested by the agency for the purpose of maintaining the database established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agency may contract with a third party as necessary for the development or maintenance of the database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 may adopt rules as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