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844</w:t>
      </w:r>
    </w:p>
    <w:p w:rsidR="003F3435" w:rsidRDefault="0032493E">
      <w:pPr>
        <w:ind w:firstLine="720"/>
        <w:jc w:val="both"/>
      </w:pPr>
      <w:r>
        <w:t xml:space="preserve">(Orr, Hickland, Vasut, Lopez of Bexar, Lalani,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DEFINITION.  In this subchapter, "proposed comprehensive zoning change" means a municipal proposal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an existing zoning regulation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the previous regulation;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apply uniformly to each parcel in one or more zoning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new zoning code or zoning map that will apply to the entire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zoning overlay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allowed without the overlay;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include an area along a major roadway, highway, or transit corridor.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published in an official newspaper or a newspaper of general circulation in the municipality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maintains an Internet website, published on the municipality's Internet website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area of the lots or land covered by the proposed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Subdivision (3), at least 60 percent of the area of the lots or land immediately adjoining the area covered by the proposed change and extending 200 feet from that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20 percent of the area of the lots or land immediately adjoining the area covered by the proposed change and extending 200 feet from that area if the proposed change will have the effect of allowing for the use of a building or structure for the operation of any form of gambling or sports wagering.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 (3);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w:t>
      </w:r>
      <w:r>
        <w:t xml:space="preserve">] the area of streets and alleys shall be included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area is not calculated individually for each tract of land subject to a proposed change in a zoning regulation or district boundary but in the aggregate for all tracts of land subject to the change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211, Local Government Code, is amended by adding Sections 211.0063 and 211.0065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PROPOSED COMPREHENSIVE ZONING CHANGES. </w:t>
      </w:r>
      <w:r>
        <w:rPr>
          <w:u w:val="single"/>
        </w:rPr>
        <w:t xml:space="preserve"> </w:t>
      </w:r>
      <w:r>
        <w:rPr>
          <w:u w:val="single"/>
        </w:rPr>
        <w:t xml:space="preserve">The notice described by Section 211.006(a) or 211.007(d), as applicable, and Section 211.006(a-1) is the only notice required for a proposed comprehensive zoning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CERTAIN CHANGES TO ZONING REGULATIONS OR DISTRICT BOUNDARIES. </w:t>
      </w:r>
      <w:r>
        <w:rPr>
          <w:u w:val="single"/>
        </w:rPr>
        <w:t xml:space="preserve"> </w:t>
      </w:r>
      <w:r>
        <w:rPr>
          <w:u w:val="single"/>
        </w:rP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211.006(d) and (f), Local Government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