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89R3967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requested by an owner of real property that is subject to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initiated by a municipality that has the effect of making residential development more restrictive than the previous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 at least 60 percent of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area of the lots or land covered by the proposed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area of the lots or land immediately adjoining the area covered by the proposed change and extending 200 feet from that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r>
        <w:t xml:space="preserve"> [</w:t>
      </w:r>
      <w:r>
        <w:rPr>
          <w:strike/>
        </w:rPr>
        <w:t xml:space="preserve">(d)</w:t>
      </w:r>
      <w:r>
        <w:t xml:space="preserve">], the area of streets and alleys shall be included.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Sections 211.0063, 211.0064, 211.0065, 211.0067, and 211.0069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OTHER PROPOSED CHANGES. </w:t>
      </w:r>
      <w:r>
        <w:rPr>
          <w:u w:val="single"/>
        </w:rPr>
        <w:t xml:space="preserve"> </w:t>
      </w:r>
      <w:r>
        <w:rPr>
          <w:u w:val="single"/>
        </w:rPr>
        <w:t xml:space="preserve">The notice described by Section 211.006(a) or 211.007(d), as applicable, is the only notice required for a proposed change to a zoning regulation or district boundary that is not described by Section 211.0061(a).</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211.0064.</w:t>
      </w:r>
      <w:r>
        <w:rPr>
          <w:u w:val="single"/>
        </w:rPr>
        <w:t xml:space="preserve"> </w:t>
      </w:r>
      <w:r>
        <w:rPr>
          <w:u w:val="single"/>
        </w:rPr>
        <w:t xml:space="preserve"> </w:t>
      </w:r>
      <w:r>
        <w:rPr>
          <w:u w:val="single"/>
        </w:rPr>
        <w:t xml:space="preserve">CIVIL ACTION TO COMPEL ADOPTION OF OTHER PROPOSED CHANGES. </w:t>
      </w:r>
      <w:r>
        <w:rPr>
          <w:u w:val="single"/>
        </w:rPr>
        <w:t xml:space="preserve"> </w:t>
      </w:r>
      <w:r>
        <w:rPr>
          <w:u w:val="single"/>
        </w:rPr>
        <w:t xml:space="preserve">(a) </w:t>
      </w:r>
      <w:r>
        <w:rPr>
          <w:u w:val="single"/>
        </w:rPr>
        <w:t xml:space="preserve"> </w:t>
      </w:r>
      <w:r>
        <w:rPr>
          <w:u w:val="single"/>
        </w:rPr>
        <w:t xml:space="preserve">The following persons may bring an action against a municipality for declaratory and injunctive relief to compel the municipality to adopt a proposed change to a zoning regulation or district boundary that is not described by Section 211.0061(a):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applies for a change to a zoning regulation or district boundary applicable to the area subject to the proposed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eligible to apply for residency in a housing development project in the area subject to the proposed change;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Subsection (a), a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its order or judgment is implemented;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 a prevailing claimant reasonable attorney's fees and costs incurred in bringing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including Chapter 15, Civil Practice and Remedies Code, an action brought under Subsection (a)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action is brought under Subsection (a) in any one of the venues described by Subsection (c), the action may not be transferred to a different venue without the written consent of all parties.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LESS RESTRICTIVE OTHER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described by Section 211.0061(a);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effect of making residential development less restrictive than the previous regulation.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proposed change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211.0067.</w:t>
      </w:r>
      <w:r>
        <w:rPr>
          <w:u w:val="single"/>
        </w:rPr>
        <w:t xml:space="preserve"> </w:t>
      </w:r>
      <w:r>
        <w:rPr>
          <w:u w:val="single"/>
        </w:rPr>
        <w:t xml:space="preserve"> </w:t>
      </w:r>
      <w:r>
        <w:rPr>
          <w:u w:val="single"/>
        </w:rPr>
        <w:t xml:space="preserve">ATTORNEY GENERAL ENFORCEMENT OF PROPOSED CHANGE PROVISIONS.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submit a complaint to the attorney general of a suspected violation of Section 211.0061, 211.0063, or 211.0065.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attorney general determines that a municipality has violated Section 211.0061, 211.0063, or 211.0065, the municipality may not adopt an ad valorem tax rate that exceeds the municipality's no-new-revenue tax rate for the three tax years that begin on or after the date of the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211.0069.</w:t>
      </w:r>
      <w:r>
        <w:rPr>
          <w:u w:val="single"/>
        </w:rPr>
        <w:t xml:space="preserve"> </w:t>
      </w:r>
      <w:r>
        <w:rPr>
          <w:u w:val="single"/>
        </w:rPr>
        <w:t xml:space="preserve"> </w:t>
      </w:r>
      <w:r>
        <w:rPr>
          <w:u w:val="single"/>
        </w:rPr>
        <w:t xml:space="preserve">EFFECT OF PROPOSED CHANGE PROVISIONS ON CERTAIN RULES AND RESTRICTIONS. </w:t>
      </w:r>
      <w:r>
        <w:rPr>
          <w:u w:val="single"/>
        </w:rPr>
        <w:t xml:space="preserve"> </w:t>
      </w:r>
      <w:r>
        <w:rPr>
          <w:u w:val="single"/>
        </w:rPr>
        <w:t xml:space="preserve">Sections 211.0061, 211.0063, 211.0064, 211.0065, and 211.0067 do not limit the applicability of a historic preservation rule, deed restriction, or homeowners association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211.006(d), Local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