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89R5370 EAS-F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917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boiler inspection reports and the composition and governance of the board of boiler rules.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755.027(a),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Not later than the </w:t>
      </w:r>
      <w:r>
        <w:rPr>
          <w:u w:val="single"/>
        </w:rPr>
        <w:t xml:space="preserve">10th</w:t>
      </w:r>
      <w:r>
        <w:t xml:space="preserve"> [</w:t>
      </w:r>
      <w:r>
        <w:rPr>
          <w:strike/>
        </w:rPr>
        <w:t xml:space="preserve">30th</w:t>
      </w:r>
      <w:r>
        <w:t xml:space="preserve">] day after the date on which a certificate inspection is performed by an authorized inspector, the inspection agency employing the authorized inspector shall file a report with the executive director in the manner specified by the executive director.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following provisions of the Health and Safety Code are repealed: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Section 755.011(d);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Section 755.018.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917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